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03"/>
        <w:gridCol w:w="4237"/>
      </w:tblGrid>
      <w:tr w:rsidR="006779F9" w14:paraId="55E3FFCC" w14:textId="77777777">
        <w:tc>
          <w:tcPr>
            <w:tcW w:w="4621" w:type="dxa"/>
            <w:vAlign w:val="center"/>
          </w:tcPr>
          <w:p w14:paraId="5FB6E1B1" w14:textId="77777777" w:rsidR="006779F9" w:rsidRDefault="00A87112" w:rsidP="005D37C2">
            <w:r>
              <w:rPr>
                <w:noProof/>
              </w:rPr>
              <w:drawing>
                <wp:inline distT="0" distB="0" distL="0" distR="0" wp14:anchorId="1D7171EC" wp14:editId="242C1C7D">
                  <wp:extent cx="1908175" cy="10496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1049655"/>
                          </a:xfrm>
                          <a:prstGeom prst="rect">
                            <a:avLst/>
                          </a:prstGeom>
                          <a:noFill/>
                          <a:ln>
                            <a:noFill/>
                          </a:ln>
                        </pic:spPr>
                      </pic:pic>
                    </a:graphicData>
                  </a:graphic>
                </wp:inline>
              </w:drawing>
            </w:r>
          </w:p>
        </w:tc>
        <w:tc>
          <w:tcPr>
            <w:tcW w:w="4621" w:type="dxa"/>
            <w:vAlign w:val="center"/>
          </w:tcPr>
          <w:p w14:paraId="05FD217D" w14:textId="77777777" w:rsidR="006779F9" w:rsidRDefault="006779F9" w:rsidP="005D37C2">
            <w:pPr>
              <w:jc w:val="center"/>
              <w:rPr>
                <w:b/>
                <w:bCs/>
              </w:rPr>
            </w:pPr>
            <w:r>
              <w:rPr>
                <w:b/>
                <w:bCs/>
              </w:rPr>
              <w:t>International Union for</w:t>
            </w:r>
            <w:r>
              <w:rPr>
                <w:b/>
                <w:bCs/>
              </w:rPr>
              <w:br/>
              <w:t xml:space="preserve"> Biological Sciences</w:t>
            </w:r>
          </w:p>
          <w:p w14:paraId="5AFA783F" w14:textId="77777777" w:rsidR="006779F9" w:rsidRDefault="006779F9" w:rsidP="005D37C2">
            <w:pPr>
              <w:jc w:val="center"/>
            </w:pPr>
            <w:r w:rsidRPr="00374309">
              <w:rPr>
                <w:b/>
                <w:bCs/>
                <w:sz w:val="24"/>
                <w:szCs w:val="24"/>
              </w:rPr>
              <w:t>Taxonomic Databases Working Group</w:t>
            </w:r>
            <w:r>
              <w:rPr>
                <w:b/>
                <w:bCs/>
                <w:sz w:val="24"/>
                <w:szCs w:val="24"/>
              </w:rPr>
              <w:br/>
            </w:r>
            <w:hyperlink r:id="rId8" w:history="1">
              <w:r w:rsidRPr="00BF100E">
                <w:rPr>
                  <w:rStyle w:val="Hyperlink"/>
                </w:rPr>
                <w:t>http://www.tdwg.org</w:t>
              </w:r>
            </w:hyperlink>
          </w:p>
        </w:tc>
      </w:tr>
    </w:tbl>
    <w:p w14:paraId="26D91911" w14:textId="77777777" w:rsidR="006779F9" w:rsidRDefault="006779F9" w:rsidP="009E4F57">
      <w:pPr>
        <w:pStyle w:val="Heading1"/>
      </w:pPr>
    </w:p>
    <w:p w14:paraId="4625B6C8" w14:textId="77777777" w:rsidR="0096665E" w:rsidRPr="00BD058B" w:rsidRDefault="0096665E" w:rsidP="0096665E">
      <w:pPr>
        <w:jc w:val="center"/>
        <w:rPr>
          <w:i/>
          <w:iCs/>
        </w:rPr>
      </w:pPr>
      <w:bookmarkStart w:id="0" w:name="_Toc124592115"/>
      <w:r w:rsidRPr="00BD058B">
        <w:rPr>
          <w:i/>
          <w:iCs/>
        </w:rPr>
        <w:t>Author: Lee Belbin</w:t>
      </w:r>
    </w:p>
    <w:p w14:paraId="2FE1E3D5" w14:textId="77777777" w:rsidR="0096665E" w:rsidRPr="00BD058B" w:rsidRDefault="0096665E" w:rsidP="0096665E">
      <w:pPr>
        <w:jc w:val="center"/>
        <w:rPr>
          <w:i/>
          <w:iCs/>
        </w:rPr>
      </w:pPr>
      <w:r w:rsidRPr="00BD058B">
        <w:rPr>
          <w:i/>
          <w:iCs/>
        </w:rPr>
        <w:t>TDWG Infrastructure Project</w:t>
      </w:r>
    </w:p>
    <w:p w14:paraId="07EE3FAB" w14:textId="77777777" w:rsidR="0096665E" w:rsidRPr="00BD058B" w:rsidRDefault="0096665E" w:rsidP="0096665E">
      <w:pPr>
        <w:jc w:val="center"/>
        <w:rPr>
          <w:i/>
          <w:iCs/>
        </w:rPr>
      </w:pPr>
      <w:r w:rsidRPr="00BD058B">
        <w:rPr>
          <w:i/>
          <w:iCs/>
        </w:rPr>
        <w:t>Last modified: 2006-01-24</w:t>
      </w:r>
    </w:p>
    <w:p w14:paraId="5A0D3C11" w14:textId="77777777" w:rsidR="0096665E" w:rsidRDefault="0096665E" w:rsidP="0096665E"/>
    <w:p w14:paraId="71A3607D" w14:textId="2D1CF231" w:rsidR="009E4F57" w:rsidRDefault="009E4F57" w:rsidP="009E4F57">
      <w:pPr>
        <w:pStyle w:val="Heading1"/>
      </w:pPr>
      <w:r>
        <w:t>Existing TDWG Processes</w:t>
      </w:r>
      <w:bookmarkEnd w:id="0"/>
    </w:p>
    <w:p w14:paraId="23B987E9" w14:textId="77777777" w:rsidR="00A84ED6" w:rsidRDefault="00A84ED6" w:rsidP="00A84ED6"/>
    <w:p w14:paraId="1F9FA9B9" w14:textId="77777777" w:rsidR="00A84ED6" w:rsidRPr="00A84ED6" w:rsidRDefault="00A84ED6" w:rsidP="00A84ED6"/>
    <w:p w14:paraId="4B3EDAE6" w14:textId="77777777" w:rsidR="006779F9" w:rsidRPr="006779F9" w:rsidRDefault="00A84ED6" w:rsidP="00A84ED6">
      <w:pPr>
        <w:pStyle w:val="Heading2"/>
        <w:jc w:val="center"/>
      </w:pPr>
      <w:r>
        <w:t>Table of Contents</w:t>
      </w:r>
    </w:p>
    <w:p w14:paraId="45608857" w14:textId="77777777" w:rsidR="00F31430" w:rsidRDefault="00F31430" w:rsidP="00850017">
      <w:pPr>
        <w:pStyle w:val="Heading2"/>
      </w:pPr>
    </w:p>
    <w:p w14:paraId="235B42D4" w14:textId="77777777" w:rsidR="00A84ED6" w:rsidRDefault="00A84ED6">
      <w:pPr>
        <w:pStyle w:val="TOC1"/>
        <w:tabs>
          <w:tab w:val="right" w:leader="dot" w:pos="8630"/>
        </w:tabs>
        <w:rPr>
          <w:noProof/>
        </w:rPr>
      </w:pPr>
      <w:r>
        <w:fldChar w:fldCharType="begin"/>
      </w:r>
      <w:r>
        <w:instrText xml:space="preserve"> TOC \o "1-3" \h \z \u </w:instrText>
      </w:r>
      <w:r>
        <w:fldChar w:fldCharType="separate"/>
      </w:r>
      <w:hyperlink w:anchor="_Toc124592115" w:history="1">
        <w:r w:rsidRPr="00603C3B">
          <w:rPr>
            <w:rStyle w:val="Hyperlink"/>
            <w:noProof/>
          </w:rPr>
          <w:t>Existing TDWG Processes</w:t>
        </w:r>
        <w:r>
          <w:rPr>
            <w:noProof/>
            <w:webHidden/>
          </w:rPr>
          <w:tab/>
        </w:r>
        <w:r>
          <w:rPr>
            <w:noProof/>
            <w:webHidden/>
          </w:rPr>
          <w:fldChar w:fldCharType="begin"/>
        </w:r>
        <w:r>
          <w:rPr>
            <w:noProof/>
            <w:webHidden/>
          </w:rPr>
          <w:instrText xml:space="preserve"> PAGEREF _Toc124592115 \h </w:instrText>
        </w:r>
        <w:r>
          <w:rPr>
            <w:noProof/>
            <w:webHidden/>
          </w:rPr>
        </w:r>
        <w:r>
          <w:rPr>
            <w:noProof/>
            <w:webHidden/>
          </w:rPr>
          <w:fldChar w:fldCharType="separate"/>
        </w:r>
        <w:r>
          <w:rPr>
            <w:noProof/>
            <w:webHidden/>
          </w:rPr>
          <w:t>1</w:t>
        </w:r>
        <w:r>
          <w:rPr>
            <w:noProof/>
            <w:webHidden/>
          </w:rPr>
          <w:fldChar w:fldCharType="end"/>
        </w:r>
      </w:hyperlink>
    </w:p>
    <w:p w14:paraId="7F1F94F4" w14:textId="77777777" w:rsidR="00A84ED6" w:rsidRDefault="00A84ED6">
      <w:pPr>
        <w:pStyle w:val="TOC2"/>
        <w:tabs>
          <w:tab w:val="right" w:leader="dot" w:pos="8630"/>
        </w:tabs>
        <w:rPr>
          <w:noProof/>
        </w:rPr>
      </w:pPr>
      <w:hyperlink w:anchor="_Toc124592116" w:history="1">
        <w:r w:rsidRPr="00603C3B">
          <w:rPr>
            <w:rStyle w:val="Hyperlink"/>
            <w:noProof/>
          </w:rPr>
          <w:t>Summary</w:t>
        </w:r>
        <w:r>
          <w:rPr>
            <w:noProof/>
            <w:webHidden/>
          </w:rPr>
          <w:tab/>
        </w:r>
        <w:r>
          <w:rPr>
            <w:noProof/>
            <w:webHidden/>
          </w:rPr>
          <w:fldChar w:fldCharType="begin"/>
        </w:r>
        <w:r>
          <w:rPr>
            <w:noProof/>
            <w:webHidden/>
          </w:rPr>
          <w:instrText xml:space="preserve"> PAGEREF _Toc124592116 \h </w:instrText>
        </w:r>
        <w:r>
          <w:rPr>
            <w:noProof/>
            <w:webHidden/>
          </w:rPr>
        </w:r>
        <w:r>
          <w:rPr>
            <w:noProof/>
            <w:webHidden/>
          </w:rPr>
          <w:fldChar w:fldCharType="separate"/>
        </w:r>
        <w:r>
          <w:rPr>
            <w:noProof/>
            <w:webHidden/>
          </w:rPr>
          <w:t>2</w:t>
        </w:r>
        <w:r>
          <w:rPr>
            <w:noProof/>
            <w:webHidden/>
          </w:rPr>
          <w:fldChar w:fldCharType="end"/>
        </w:r>
      </w:hyperlink>
    </w:p>
    <w:p w14:paraId="79A261F4" w14:textId="77777777" w:rsidR="00A84ED6" w:rsidRDefault="00A84ED6">
      <w:pPr>
        <w:pStyle w:val="TOC2"/>
        <w:tabs>
          <w:tab w:val="right" w:leader="dot" w:pos="8630"/>
        </w:tabs>
        <w:rPr>
          <w:noProof/>
        </w:rPr>
      </w:pPr>
      <w:hyperlink w:anchor="_Toc124592117" w:history="1">
        <w:r w:rsidRPr="00603C3B">
          <w:rPr>
            <w:rStyle w:val="Hyperlink"/>
            <w:noProof/>
          </w:rPr>
          <w:t>Introduction</w:t>
        </w:r>
        <w:r>
          <w:rPr>
            <w:noProof/>
            <w:webHidden/>
          </w:rPr>
          <w:tab/>
        </w:r>
        <w:r>
          <w:rPr>
            <w:noProof/>
            <w:webHidden/>
          </w:rPr>
          <w:fldChar w:fldCharType="begin"/>
        </w:r>
        <w:r>
          <w:rPr>
            <w:noProof/>
            <w:webHidden/>
          </w:rPr>
          <w:instrText xml:space="preserve"> PAGEREF _Toc124592117 \h </w:instrText>
        </w:r>
        <w:r>
          <w:rPr>
            <w:noProof/>
            <w:webHidden/>
          </w:rPr>
        </w:r>
        <w:r>
          <w:rPr>
            <w:noProof/>
            <w:webHidden/>
          </w:rPr>
          <w:fldChar w:fldCharType="separate"/>
        </w:r>
        <w:r>
          <w:rPr>
            <w:noProof/>
            <w:webHidden/>
          </w:rPr>
          <w:t>3</w:t>
        </w:r>
        <w:r>
          <w:rPr>
            <w:noProof/>
            <w:webHidden/>
          </w:rPr>
          <w:fldChar w:fldCharType="end"/>
        </w:r>
      </w:hyperlink>
    </w:p>
    <w:p w14:paraId="6594BD82" w14:textId="77777777" w:rsidR="00A84ED6" w:rsidRDefault="00A84ED6">
      <w:pPr>
        <w:pStyle w:val="TOC2"/>
        <w:tabs>
          <w:tab w:val="right" w:leader="dot" w:pos="8630"/>
        </w:tabs>
        <w:rPr>
          <w:noProof/>
        </w:rPr>
      </w:pPr>
      <w:hyperlink w:anchor="_Toc124592118" w:history="1">
        <w:r w:rsidRPr="00603C3B">
          <w:rPr>
            <w:rStyle w:val="Hyperlink"/>
            <w:noProof/>
          </w:rPr>
          <w:t>Quotes</w:t>
        </w:r>
        <w:r>
          <w:rPr>
            <w:noProof/>
            <w:webHidden/>
          </w:rPr>
          <w:tab/>
        </w:r>
        <w:r>
          <w:rPr>
            <w:noProof/>
            <w:webHidden/>
          </w:rPr>
          <w:fldChar w:fldCharType="begin"/>
        </w:r>
        <w:r>
          <w:rPr>
            <w:noProof/>
            <w:webHidden/>
          </w:rPr>
          <w:instrText xml:space="preserve"> PAGEREF _Toc124592118 \h </w:instrText>
        </w:r>
        <w:r>
          <w:rPr>
            <w:noProof/>
            <w:webHidden/>
          </w:rPr>
        </w:r>
        <w:r>
          <w:rPr>
            <w:noProof/>
            <w:webHidden/>
          </w:rPr>
          <w:fldChar w:fldCharType="separate"/>
        </w:r>
        <w:r>
          <w:rPr>
            <w:noProof/>
            <w:webHidden/>
          </w:rPr>
          <w:t>3</w:t>
        </w:r>
        <w:r>
          <w:rPr>
            <w:noProof/>
            <w:webHidden/>
          </w:rPr>
          <w:fldChar w:fldCharType="end"/>
        </w:r>
      </w:hyperlink>
    </w:p>
    <w:p w14:paraId="16370569" w14:textId="77777777" w:rsidR="00A84ED6" w:rsidRDefault="00A84ED6">
      <w:pPr>
        <w:pStyle w:val="TOC2"/>
        <w:tabs>
          <w:tab w:val="right" w:leader="dot" w:pos="8630"/>
        </w:tabs>
        <w:rPr>
          <w:noProof/>
        </w:rPr>
      </w:pPr>
      <w:hyperlink w:anchor="_Toc124592119" w:history="1">
        <w:r w:rsidRPr="00603C3B">
          <w:rPr>
            <w:rStyle w:val="Hyperlink"/>
            <w:noProof/>
          </w:rPr>
          <w:t>A. General Observations</w:t>
        </w:r>
        <w:r>
          <w:rPr>
            <w:noProof/>
            <w:webHidden/>
          </w:rPr>
          <w:tab/>
        </w:r>
        <w:r>
          <w:rPr>
            <w:noProof/>
            <w:webHidden/>
          </w:rPr>
          <w:fldChar w:fldCharType="begin"/>
        </w:r>
        <w:r>
          <w:rPr>
            <w:noProof/>
            <w:webHidden/>
          </w:rPr>
          <w:instrText xml:space="preserve"> PAGEREF _Toc124592119 \h </w:instrText>
        </w:r>
        <w:r>
          <w:rPr>
            <w:noProof/>
            <w:webHidden/>
          </w:rPr>
        </w:r>
        <w:r>
          <w:rPr>
            <w:noProof/>
            <w:webHidden/>
          </w:rPr>
          <w:fldChar w:fldCharType="separate"/>
        </w:r>
        <w:r>
          <w:rPr>
            <w:noProof/>
            <w:webHidden/>
          </w:rPr>
          <w:t>4</w:t>
        </w:r>
        <w:r>
          <w:rPr>
            <w:noProof/>
            <w:webHidden/>
          </w:rPr>
          <w:fldChar w:fldCharType="end"/>
        </w:r>
      </w:hyperlink>
    </w:p>
    <w:p w14:paraId="57D7572C" w14:textId="77777777" w:rsidR="00A84ED6" w:rsidRDefault="00A84ED6">
      <w:pPr>
        <w:pStyle w:val="TOC3"/>
        <w:tabs>
          <w:tab w:val="right" w:leader="dot" w:pos="8630"/>
        </w:tabs>
        <w:rPr>
          <w:noProof/>
        </w:rPr>
      </w:pPr>
      <w:hyperlink w:anchor="_Toc124592120" w:history="1">
        <w:r w:rsidRPr="00603C3B">
          <w:rPr>
            <w:rStyle w:val="Hyperlink"/>
            <w:noProof/>
          </w:rPr>
          <w:t>Recommendations</w:t>
        </w:r>
        <w:r>
          <w:rPr>
            <w:noProof/>
            <w:webHidden/>
          </w:rPr>
          <w:tab/>
        </w:r>
        <w:r>
          <w:rPr>
            <w:noProof/>
            <w:webHidden/>
          </w:rPr>
          <w:fldChar w:fldCharType="begin"/>
        </w:r>
        <w:r>
          <w:rPr>
            <w:noProof/>
            <w:webHidden/>
          </w:rPr>
          <w:instrText xml:space="preserve"> PAGEREF _Toc124592120 \h </w:instrText>
        </w:r>
        <w:r>
          <w:rPr>
            <w:noProof/>
            <w:webHidden/>
          </w:rPr>
        </w:r>
        <w:r>
          <w:rPr>
            <w:noProof/>
            <w:webHidden/>
          </w:rPr>
          <w:fldChar w:fldCharType="separate"/>
        </w:r>
        <w:r>
          <w:rPr>
            <w:noProof/>
            <w:webHidden/>
          </w:rPr>
          <w:t>4</w:t>
        </w:r>
        <w:r>
          <w:rPr>
            <w:noProof/>
            <w:webHidden/>
          </w:rPr>
          <w:fldChar w:fldCharType="end"/>
        </w:r>
      </w:hyperlink>
    </w:p>
    <w:p w14:paraId="7B381E81" w14:textId="77777777" w:rsidR="00A84ED6" w:rsidRDefault="00A84ED6">
      <w:pPr>
        <w:pStyle w:val="TOC2"/>
        <w:tabs>
          <w:tab w:val="right" w:leader="dot" w:pos="8630"/>
        </w:tabs>
        <w:rPr>
          <w:noProof/>
        </w:rPr>
      </w:pPr>
      <w:hyperlink w:anchor="_Toc124592121" w:history="1">
        <w:r w:rsidRPr="00603C3B">
          <w:rPr>
            <w:rStyle w:val="Hyperlink"/>
            <w:noProof/>
          </w:rPr>
          <w:t>B: TDWG Annual Meeting</w:t>
        </w:r>
        <w:r>
          <w:rPr>
            <w:noProof/>
            <w:webHidden/>
          </w:rPr>
          <w:tab/>
        </w:r>
        <w:r>
          <w:rPr>
            <w:noProof/>
            <w:webHidden/>
          </w:rPr>
          <w:fldChar w:fldCharType="begin"/>
        </w:r>
        <w:r>
          <w:rPr>
            <w:noProof/>
            <w:webHidden/>
          </w:rPr>
          <w:instrText xml:space="preserve"> PAGEREF _Toc124592121 \h </w:instrText>
        </w:r>
        <w:r>
          <w:rPr>
            <w:noProof/>
            <w:webHidden/>
          </w:rPr>
        </w:r>
        <w:r>
          <w:rPr>
            <w:noProof/>
            <w:webHidden/>
          </w:rPr>
          <w:fldChar w:fldCharType="separate"/>
        </w:r>
        <w:r>
          <w:rPr>
            <w:noProof/>
            <w:webHidden/>
          </w:rPr>
          <w:t>6</w:t>
        </w:r>
        <w:r>
          <w:rPr>
            <w:noProof/>
            <w:webHidden/>
          </w:rPr>
          <w:fldChar w:fldCharType="end"/>
        </w:r>
      </w:hyperlink>
    </w:p>
    <w:p w14:paraId="32F72DCE" w14:textId="77777777" w:rsidR="00A84ED6" w:rsidRDefault="00A84ED6">
      <w:pPr>
        <w:pStyle w:val="TOC3"/>
        <w:tabs>
          <w:tab w:val="right" w:leader="dot" w:pos="8630"/>
        </w:tabs>
        <w:rPr>
          <w:noProof/>
        </w:rPr>
      </w:pPr>
      <w:hyperlink w:anchor="_Toc124592122" w:history="1">
        <w:r w:rsidRPr="00603C3B">
          <w:rPr>
            <w:rStyle w:val="Hyperlink"/>
            <w:noProof/>
          </w:rPr>
          <w:t>Observations</w:t>
        </w:r>
        <w:r>
          <w:rPr>
            <w:noProof/>
            <w:webHidden/>
          </w:rPr>
          <w:tab/>
        </w:r>
        <w:r>
          <w:rPr>
            <w:noProof/>
            <w:webHidden/>
          </w:rPr>
          <w:fldChar w:fldCharType="begin"/>
        </w:r>
        <w:r>
          <w:rPr>
            <w:noProof/>
            <w:webHidden/>
          </w:rPr>
          <w:instrText xml:space="preserve"> PAGEREF _Toc124592122 \h </w:instrText>
        </w:r>
        <w:r>
          <w:rPr>
            <w:noProof/>
            <w:webHidden/>
          </w:rPr>
        </w:r>
        <w:r>
          <w:rPr>
            <w:noProof/>
            <w:webHidden/>
          </w:rPr>
          <w:fldChar w:fldCharType="separate"/>
        </w:r>
        <w:r>
          <w:rPr>
            <w:noProof/>
            <w:webHidden/>
          </w:rPr>
          <w:t>6</w:t>
        </w:r>
        <w:r>
          <w:rPr>
            <w:noProof/>
            <w:webHidden/>
          </w:rPr>
          <w:fldChar w:fldCharType="end"/>
        </w:r>
      </w:hyperlink>
    </w:p>
    <w:p w14:paraId="4FA503BD" w14:textId="77777777" w:rsidR="00A84ED6" w:rsidRDefault="00A84ED6">
      <w:pPr>
        <w:pStyle w:val="TOC3"/>
        <w:tabs>
          <w:tab w:val="right" w:leader="dot" w:pos="8630"/>
        </w:tabs>
        <w:rPr>
          <w:noProof/>
        </w:rPr>
      </w:pPr>
      <w:hyperlink w:anchor="_Toc124592123" w:history="1">
        <w:r w:rsidRPr="00603C3B">
          <w:rPr>
            <w:rStyle w:val="Hyperlink"/>
            <w:noProof/>
          </w:rPr>
          <w:t>Recommendations</w:t>
        </w:r>
        <w:r>
          <w:rPr>
            <w:noProof/>
            <w:webHidden/>
          </w:rPr>
          <w:tab/>
        </w:r>
        <w:r>
          <w:rPr>
            <w:noProof/>
            <w:webHidden/>
          </w:rPr>
          <w:fldChar w:fldCharType="begin"/>
        </w:r>
        <w:r>
          <w:rPr>
            <w:noProof/>
            <w:webHidden/>
          </w:rPr>
          <w:instrText xml:space="preserve"> PAGEREF _Toc124592123 \h </w:instrText>
        </w:r>
        <w:r>
          <w:rPr>
            <w:noProof/>
            <w:webHidden/>
          </w:rPr>
        </w:r>
        <w:r>
          <w:rPr>
            <w:noProof/>
            <w:webHidden/>
          </w:rPr>
          <w:fldChar w:fldCharType="separate"/>
        </w:r>
        <w:r>
          <w:rPr>
            <w:noProof/>
            <w:webHidden/>
          </w:rPr>
          <w:t>6</w:t>
        </w:r>
        <w:r>
          <w:rPr>
            <w:noProof/>
            <w:webHidden/>
          </w:rPr>
          <w:fldChar w:fldCharType="end"/>
        </w:r>
      </w:hyperlink>
    </w:p>
    <w:p w14:paraId="088D4394" w14:textId="77777777" w:rsidR="00A84ED6" w:rsidRDefault="00A84ED6">
      <w:pPr>
        <w:pStyle w:val="TOC2"/>
        <w:tabs>
          <w:tab w:val="right" w:leader="dot" w:pos="8630"/>
        </w:tabs>
        <w:rPr>
          <w:noProof/>
        </w:rPr>
      </w:pPr>
      <w:hyperlink w:anchor="_Toc124592124" w:history="1">
        <w:r w:rsidRPr="00603C3B">
          <w:rPr>
            <w:rStyle w:val="Hyperlink"/>
            <w:noProof/>
          </w:rPr>
          <w:t>C: Establishment and Operation of TDWG Subgroups</w:t>
        </w:r>
        <w:r>
          <w:rPr>
            <w:noProof/>
            <w:webHidden/>
          </w:rPr>
          <w:tab/>
        </w:r>
        <w:r>
          <w:rPr>
            <w:noProof/>
            <w:webHidden/>
          </w:rPr>
          <w:fldChar w:fldCharType="begin"/>
        </w:r>
        <w:r>
          <w:rPr>
            <w:noProof/>
            <w:webHidden/>
          </w:rPr>
          <w:instrText xml:space="preserve"> PAGEREF _Toc124592124 \h </w:instrText>
        </w:r>
        <w:r>
          <w:rPr>
            <w:noProof/>
            <w:webHidden/>
          </w:rPr>
        </w:r>
        <w:r>
          <w:rPr>
            <w:noProof/>
            <w:webHidden/>
          </w:rPr>
          <w:fldChar w:fldCharType="separate"/>
        </w:r>
        <w:r>
          <w:rPr>
            <w:noProof/>
            <w:webHidden/>
          </w:rPr>
          <w:t>8</w:t>
        </w:r>
        <w:r>
          <w:rPr>
            <w:noProof/>
            <w:webHidden/>
          </w:rPr>
          <w:fldChar w:fldCharType="end"/>
        </w:r>
      </w:hyperlink>
    </w:p>
    <w:p w14:paraId="2E66370B" w14:textId="77777777" w:rsidR="00A84ED6" w:rsidRDefault="00A84ED6">
      <w:pPr>
        <w:pStyle w:val="TOC3"/>
        <w:tabs>
          <w:tab w:val="right" w:leader="dot" w:pos="8630"/>
        </w:tabs>
        <w:rPr>
          <w:noProof/>
        </w:rPr>
      </w:pPr>
      <w:hyperlink w:anchor="_Toc124592125" w:history="1">
        <w:r w:rsidRPr="00603C3B">
          <w:rPr>
            <w:rStyle w:val="Hyperlink"/>
            <w:noProof/>
          </w:rPr>
          <w:t>Observations</w:t>
        </w:r>
        <w:r>
          <w:rPr>
            <w:noProof/>
            <w:webHidden/>
          </w:rPr>
          <w:tab/>
        </w:r>
        <w:r>
          <w:rPr>
            <w:noProof/>
            <w:webHidden/>
          </w:rPr>
          <w:fldChar w:fldCharType="begin"/>
        </w:r>
        <w:r>
          <w:rPr>
            <w:noProof/>
            <w:webHidden/>
          </w:rPr>
          <w:instrText xml:space="preserve"> PAGEREF _Toc124592125 \h </w:instrText>
        </w:r>
        <w:r>
          <w:rPr>
            <w:noProof/>
            <w:webHidden/>
          </w:rPr>
        </w:r>
        <w:r>
          <w:rPr>
            <w:noProof/>
            <w:webHidden/>
          </w:rPr>
          <w:fldChar w:fldCharType="separate"/>
        </w:r>
        <w:r>
          <w:rPr>
            <w:noProof/>
            <w:webHidden/>
          </w:rPr>
          <w:t>8</w:t>
        </w:r>
        <w:r>
          <w:rPr>
            <w:noProof/>
            <w:webHidden/>
          </w:rPr>
          <w:fldChar w:fldCharType="end"/>
        </w:r>
      </w:hyperlink>
    </w:p>
    <w:p w14:paraId="225A7644" w14:textId="77777777" w:rsidR="00A84ED6" w:rsidRDefault="00A84ED6">
      <w:pPr>
        <w:pStyle w:val="TOC3"/>
        <w:tabs>
          <w:tab w:val="right" w:leader="dot" w:pos="8630"/>
        </w:tabs>
        <w:rPr>
          <w:noProof/>
        </w:rPr>
      </w:pPr>
      <w:hyperlink w:anchor="_Toc124592126" w:history="1">
        <w:r w:rsidRPr="00603C3B">
          <w:rPr>
            <w:rStyle w:val="Hyperlink"/>
            <w:noProof/>
          </w:rPr>
          <w:t>Recommendations</w:t>
        </w:r>
        <w:r>
          <w:rPr>
            <w:noProof/>
            <w:webHidden/>
          </w:rPr>
          <w:tab/>
        </w:r>
        <w:r>
          <w:rPr>
            <w:noProof/>
            <w:webHidden/>
          </w:rPr>
          <w:fldChar w:fldCharType="begin"/>
        </w:r>
        <w:r>
          <w:rPr>
            <w:noProof/>
            <w:webHidden/>
          </w:rPr>
          <w:instrText xml:space="preserve"> PAGEREF _Toc124592126 \h </w:instrText>
        </w:r>
        <w:r>
          <w:rPr>
            <w:noProof/>
            <w:webHidden/>
          </w:rPr>
        </w:r>
        <w:r>
          <w:rPr>
            <w:noProof/>
            <w:webHidden/>
          </w:rPr>
          <w:fldChar w:fldCharType="separate"/>
        </w:r>
        <w:r>
          <w:rPr>
            <w:noProof/>
            <w:webHidden/>
          </w:rPr>
          <w:t>8</w:t>
        </w:r>
        <w:r>
          <w:rPr>
            <w:noProof/>
            <w:webHidden/>
          </w:rPr>
          <w:fldChar w:fldCharType="end"/>
        </w:r>
      </w:hyperlink>
    </w:p>
    <w:p w14:paraId="0377DD4F" w14:textId="77777777" w:rsidR="00A84ED6" w:rsidRDefault="00A84ED6">
      <w:pPr>
        <w:pStyle w:val="TOC2"/>
        <w:tabs>
          <w:tab w:val="right" w:leader="dot" w:pos="8630"/>
        </w:tabs>
        <w:rPr>
          <w:noProof/>
        </w:rPr>
      </w:pPr>
      <w:hyperlink w:anchor="_Toc124592127" w:history="1">
        <w:r w:rsidRPr="00603C3B">
          <w:rPr>
            <w:rStyle w:val="Hyperlink"/>
            <w:noProof/>
          </w:rPr>
          <w:t>D: Standards and Protocols</w:t>
        </w:r>
        <w:r>
          <w:rPr>
            <w:noProof/>
            <w:webHidden/>
          </w:rPr>
          <w:tab/>
        </w:r>
        <w:r>
          <w:rPr>
            <w:noProof/>
            <w:webHidden/>
          </w:rPr>
          <w:fldChar w:fldCharType="begin"/>
        </w:r>
        <w:r>
          <w:rPr>
            <w:noProof/>
            <w:webHidden/>
          </w:rPr>
          <w:instrText xml:space="preserve"> PAGEREF _Toc124592127 \h </w:instrText>
        </w:r>
        <w:r>
          <w:rPr>
            <w:noProof/>
            <w:webHidden/>
          </w:rPr>
        </w:r>
        <w:r>
          <w:rPr>
            <w:noProof/>
            <w:webHidden/>
          </w:rPr>
          <w:fldChar w:fldCharType="separate"/>
        </w:r>
        <w:r>
          <w:rPr>
            <w:noProof/>
            <w:webHidden/>
          </w:rPr>
          <w:t>11</w:t>
        </w:r>
        <w:r>
          <w:rPr>
            <w:noProof/>
            <w:webHidden/>
          </w:rPr>
          <w:fldChar w:fldCharType="end"/>
        </w:r>
      </w:hyperlink>
    </w:p>
    <w:p w14:paraId="2871C192" w14:textId="77777777" w:rsidR="00A84ED6" w:rsidRDefault="00A84ED6">
      <w:pPr>
        <w:pStyle w:val="TOC3"/>
        <w:tabs>
          <w:tab w:val="right" w:leader="dot" w:pos="8630"/>
        </w:tabs>
        <w:rPr>
          <w:noProof/>
        </w:rPr>
      </w:pPr>
      <w:hyperlink w:anchor="_Toc124592128" w:history="1">
        <w:r w:rsidRPr="00603C3B">
          <w:rPr>
            <w:rStyle w:val="Hyperlink"/>
            <w:noProof/>
          </w:rPr>
          <w:t>Observations</w:t>
        </w:r>
        <w:r>
          <w:rPr>
            <w:noProof/>
            <w:webHidden/>
          </w:rPr>
          <w:tab/>
        </w:r>
        <w:r>
          <w:rPr>
            <w:noProof/>
            <w:webHidden/>
          </w:rPr>
          <w:fldChar w:fldCharType="begin"/>
        </w:r>
        <w:r>
          <w:rPr>
            <w:noProof/>
            <w:webHidden/>
          </w:rPr>
          <w:instrText xml:space="preserve"> PAGEREF _Toc124592128 \h </w:instrText>
        </w:r>
        <w:r>
          <w:rPr>
            <w:noProof/>
            <w:webHidden/>
          </w:rPr>
        </w:r>
        <w:r>
          <w:rPr>
            <w:noProof/>
            <w:webHidden/>
          </w:rPr>
          <w:fldChar w:fldCharType="separate"/>
        </w:r>
        <w:r>
          <w:rPr>
            <w:noProof/>
            <w:webHidden/>
          </w:rPr>
          <w:t>11</w:t>
        </w:r>
        <w:r>
          <w:rPr>
            <w:noProof/>
            <w:webHidden/>
          </w:rPr>
          <w:fldChar w:fldCharType="end"/>
        </w:r>
      </w:hyperlink>
    </w:p>
    <w:p w14:paraId="2F1BB56A" w14:textId="77777777" w:rsidR="00A84ED6" w:rsidRDefault="00A84ED6">
      <w:pPr>
        <w:pStyle w:val="TOC3"/>
        <w:tabs>
          <w:tab w:val="right" w:leader="dot" w:pos="8630"/>
        </w:tabs>
        <w:rPr>
          <w:noProof/>
        </w:rPr>
      </w:pPr>
      <w:hyperlink w:anchor="_Toc124592129" w:history="1">
        <w:r w:rsidRPr="00603C3B">
          <w:rPr>
            <w:rStyle w:val="Hyperlink"/>
            <w:noProof/>
          </w:rPr>
          <w:t>Recommendations</w:t>
        </w:r>
        <w:r>
          <w:rPr>
            <w:noProof/>
            <w:webHidden/>
          </w:rPr>
          <w:tab/>
        </w:r>
        <w:r>
          <w:rPr>
            <w:noProof/>
            <w:webHidden/>
          </w:rPr>
          <w:fldChar w:fldCharType="begin"/>
        </w:r>
        <w:r>
          <w:rPr>
            <w:noProof/>
            <w:webHidden/>
          </w:rPr>
          <w:instrText xml:space="preserve"> PAGEREF _Toc124592129 \h </w:instrText>
        </w:r>
        <w:r>
          <w:rPr>
            <w:noProof/>
            <w:webHidden/>
          </w:rPr>
        </w:r>
        <w:r>
          <w:rPr>
            <w:noProof/>
            <w:webHidden/>
          </w:rPr>
          <w:fldChar w:fldCharType="separate"/>
        </w:r>
        <w:r>
          <w:rPr>
            <w:noProof/>
            <w:webHidden/>
          </w:rPr>
          <w:t>11</w:t>
        </w:r>
        <w:r>
          <w:rPr>
            <w:noProof/>
            <w:webHidden/>
          </w:rPr>
          <w:fldChar w:fldCharType="end"/>
        </w:r>
      </w:hyperlink>
    </w:p>
    <w:p w14:paraId="550B5FE6" w14:textId="77777777" w:rsidR="00F31430" w:rsidRDefault="00A84ED6" w:rsidP="00850017">
      <w:pPr>
        <w:pStyle w:val="Heading2"/>
      </w:pPr>
      <w:r>
        <w:fldChar w:fldCharType="end"/>
      </w:r>
    </w:p>
    <w:p w14:paraId="306AE3D5" w14:textId="77777777" w:rsidR="00850017" w:rsidRDefault="00A84ED6" w:rsidP="00850017">
      <w:pPr>
        <w:pStyle w:val="Heading2"/>
      </w:pPr>
      <w:r>
        <w:br w:type="page"/>
      </w:r>
      <w:bookmarkStart w:id="1" w:name="_Toc124592116"/>
      <w:r w:rsidR="00850017">
        <w:lastRenderedPageBreak/>
        <w:t>Summary</w:t>
      </w:r>
      <w:bookmarkEnd w:id="1"/>
    </w:p>
    <w:p w14:paraId="0FB31DBA" w14:textId="77777777" w:rsidR="00850017" w:rsidRDefault="00850017" w:rsidP="00850017">
      <w:r>
        <w:t>TDWG’s current processes for the development of standards for interoperability of biological diversity information are informal and diverse. There are only two formal aspects of the process, the sanction of a new subgroup by the Executive, and a vote on acceptance of a new standard at the annual TDWG meeting.</w:t>
      </w:r>
    </w:p>
    <w:p w14:paraId="658816A6" w14:textId="77777777" w:rsidR="00850017" w:rsidRDefault="00850017" w:rsidP="00850017">
      <w:r>
        <w:t>There is no formal mandate for new groups, no reporting schedule, no systematic broad-spectrum documentation expected and no integrating architecture that outputs and outcomes need to adhere to. The Executive is over-burdened with the organization and running of the annual meeting, and there is an unhealthy emphasis placed on progressing standards at this meeting.</w:t>
      </w:r>
    </w:p>
    <w:p w14:paraId="30D9D358" w14:textId="77777777" w:rsidR="00850017" w:rsidRDefault="00850017" w:rsidP="00850017">
      <w:r w:rsidRPr="00850017">
        <w:t>There is a strong need to create a simple, effective and well-publicized process that spans the roles of the all TDWG groups including the Executive in the establishment, tracking and completion of TDWG initiatives.</w:t>
      </w:r>
    </w:p>
    <w:p w14:paraId="2F8DA62B" w14:textId="77777777" w:rsidR="00850017" w:rsidRDefault="00C21196" w:rsidP="00850017">
      <w:pPr>
        <w:pStyle w:val="Heading2"/>
      </w:pPr>
      <w:r>
        <w:br w:type="page"/>
      </w:r>
      <w:bookmarkStart w:id="2" w:name="_Toc124592117"/>
      <w:r w:rsidR="00850017">
        <w:lastRenderedPageBreak/>
        <w:t>Introduction</w:t>
      </w:r>
      <w:bookmarkEnd w:id="2"/>
    </w:p>
    <w:p w14:paraId="682C993C" w14:textId="77777777" w:rsidR="00850017" w:rsidRDefault="00850017" w:rsidP="00850017">
      <w:r>
        <w:t xml:space="preserve">This document provides raw material for the TDWG Process subgroup. It is intended to summarize the current processes for the development of standards and protocols in TDWG. The sections identify key areas within TDWG where processes are form a significant component. There are un-avoidable overlaps in issues between the sections. Where this is the case, they have allocated them to the most obvious category. The observations are just that; I may have misinterpreted what I perceived, or just got it wrong. The recommendations are provided as the simplest remedies to most of the observations. </w:t>
      </w:r>
    </w:p>
    <w:p w14:paraId="11FF75EE" w14:textId="77777777" w:rsidR="00AF4FA6" w:rsidRDefault="00A32E70" w:rsidP="00F42012">
      <w:pPr>
        <w:pStyle w:val="Heading2"/>
      </w:pPr>
      <w:bookmarkStart w:id="3" w:name="_Toc124592118"/>
      <w:r>
        <w:t>Quotes</w:t>
      </w:r>
      <w:bookmarkEnd w:id="3"/>
    </w:p>
    <w:p w14:paraId="105BEADA" w14:textId="77777777" w:rsidR="00AF4FA6" w:rsidRDefault="00DB061D" w:rsidP="00AF4FA6">
      <w:pPr>
        <w:numPr>
          <w:ilvl w:val="0"/>
          <w:numId w:val="13"/>
        </w:numPr>
        <w:autoSpaceDE w:val="0"/>
        <w:autoSpaceDN w:val="0"/>
        <w:adjustRightInd w:val="0"/>
      </w:pPr>
      <w:r>
        <w:t>“</w:t>
      </w:r>
      <w:r w:rsidR="00AF4FA6" w:rsidRPr="00AF4FA6">
        <w:t>We can get a lot of agreement over a few hours on what needs to be done in face to face environments, but it's no surprise that everyone goes home to their day jobs and we don't revisit until a key need arises.   I think what would be quite useful is a structured environment for standards development where the steps from inception to published standards are well documented for particular types of standards -</w:t>
      </w:r>
      <w:r w:rsidR="0033021B">
        <w:t xml:space="preserve"> </w:t>
      </w:r>
      <w:r w:rsidR="00AF4FA6" w:rsidRPr="00AF4FA6">
        <w:t>documented process.  Integrating this with tools that "require" contributors (via a system of carrots and sticks) to author or comment within a well established time frame.   It's very easy to let things go by in a volunteer system</w:t>
      </w:r>
      <w:r>
        <w:t>”</w:t>
      </w:r>
      <w:r w:rsidR="00AF4FA6" w:rsidRPr="00AF4FA6">
        <w:t>.</w:t>
      </w:r>
    </w:p>
    <w:p w14:paraId="314D7A4C" w14:textId="77777777" w:rsidR="00F23F66" w:rsidRDefault="009463A2" w:rsidP="00F23F66">
      <w:pPr>
        <w:numPr>
          <w:ilvl w:val="0"/>
          <w:numId w:val="13"/>
        </w:numPr>
        <w:autoSpaceDE w:val="0"/>
        <w:autoSpaceDN w:val="0"/>
        <w:adjustRightInd w:val="0"/>
      </w:pPr>
      <w:r w:rsidRPr="009463A2">
        <w:t>“The hardest thing seems to be to require participation.”</w:t>
      </w:r>
    </w:p>
    <w:p w14:paraId="04598BEE" w14:textId="77777777" w:rsidR="00F23F66" w:rsidRPr="00F23F66" w:rsidRDefault="00F23F66" w:rsidP="00F23F66">
      <w:pPr>
        <w:numPr>
          <w:ilvl w:val="0"/>
          <w:numId w:val="13"/>
        </w:numPr>
        <w:autoSpaceDE w:val="0"/>
        <w:autoSpaceDN w:val="0"/>
        <w:adjustRightInd w:val="0"/>
      </w:pPr>
      <w:r w:rsidRPr="00F23F66">
        <w:t>“People need to see action to take action</w:t>
      </w:r>
      <w:r w:rsidR="0033021B">
        <w:t>…”</w:t>
      </w:r>
    </w:p>
    <w:p w14:paraId="7A59E686" w14:textId="77777777" w:rsidR="00F23F66" w:rsidRDefault="00F23F66" w:rsidP="00F23F66">
      <w:pPr>
        <w:numPr>
          <w:ilvl w:val="0"/>
          <w:numId w:val="13"/>
        </w:numPr>
        <w:autoSpaceDE w:val="0"/>
        <w:autoSpaceDN w:val="0"/>
        <w:adjustRightInd w:val="0"/>
      </w:pPr>
      <w:r w:rsidRPr="00F23F66">
        <w:t>“The bottlenecks to standards development are definitely getting the appropriate people to participate in a timely fashion. I think we would benefit from a much more rigid standards development process, such as those used by W3C, OGC, or even ISO.”</w:t>
      </w:r>
    </w:p>
    <w:p w14:paraId="65EDA44E" w14:textId="77777777" w:rsidR="00F23F66" w:rsidRPr="00F23F66" w:rsidRDefault="00F23F66" w:rsidP="00F23F66">
      <w:pPr>
        <w:numPr>
          <w:ilvl w:val="0"/>
          <w:numId w:val="13"/>
        </w:numPr>
        <w:autoSpaceDE w:val="0"/>
        <w:autoSpaceDN w:val="0"/>
        <w:adjustRightInd w:val="0"/>
      </w:pPr>
      <w:r w:rsidRPr="00F23F66">
        <w:t>“What we're missing is the appropriate level of documentation to engage those who need engaging. We leave too much of a barrier for newcomers to really get their feet wet - we make them have to take their shoes off first.</w:t>
      </w:r>
      <w:r>
        <w:t>”</w:t>
      </w:r>
    </w:p>
    <w:p w14:paraId="68C52750" w14:textId="77777777" w:rsidR="009D3C83" w:rsidRDefault="00C21196" w:rsidP="00F42012">
      <w:pPr>
        <w:pStyle w:val="Heading2"/>
      </w:pPr>
      <w:r>
        <w:br w:type="page"/>
      </w:r>
      <w:bookmarkStart w:id="4" w:name="_Toc124592119"/>
      <w:r w:rsidR="00AF1487">
        <w:lastRenderedPageBreak/>
        <w:t xml:space="preserve">A. </w:t>
      </w:r>
      <w:r w:rsidR="009D3C83">
        <w:t>General Observations</w:t>
      </w:r>
      <w:bookmarkEnd w:id="4"/>
      <w:r w:rsidR="009D3C83">
        <w:br/>
      </w:r>
    </w:p>
    <w:p w14:paraId="6E82263D" w14:textId="77777777" w:rsidR="009D3C83" w:rsidRDefault="009D3C83" w:rsidP="00BE72DE">
      <w:pPr>
        <w:numPr>
          <w:ilvl w:val="0"/>
          <w:numId w:val="8"/>
        </w:numPr>
      </w:pPr>
      <w:r>
        <w:t xml:space="preserve">TDWG does not appear to communicate effectively with </w:t>
      </w:r>
      <w:r w:rsidR="00303530">
        <w:t>organization</w:t>
      </w:r>
      <w:r>
        <w:t xml:space="preserve">s that have a vested interest in TDWG activities. The information on the TDWG Web site does not constitute </w:t>
      </w:r>
      <w:r w:rsidR="00044FE1">
        <w:t xml:space="preserve">useful information </w:t>
      </w:r>
      <w:r>
        <w:t xml:space="preserve">for </w:t>
      </w:r>
      <w:r w:rsidR="00303530">
        <w:t>organization</w:t>
      </w:r>
      <w:r>
        <w:t xml:space="preserve">s that should </w:t>
      </w:r>
      <w:r w:rsidR="00444FC8">
        <w:t xml:space="preserve">have a cost/benefit </w:t>
      </w:r>
      <w:r>
        <w:t>interest</w:t>
      </w:r>
      <w:r w:rsidR="00444FC8">
        <w:t xml:space="preserve"> </w:t>
      </w:r>
      <w:r>
        <w:t>in TDWG activities.</w:t>
      </w:r>
      <w:r w:rsidR="00353F16">
        <w:t xml:space="preserve"> </w:t>
      </w:r>
      <w:r w:rsidR="00444FC8">
        <w:t xml:space="preserve">Communication about TDWG activities </w:t>
      </w:r>
      <w:r w:rsidR="00347034">
        <w:t xml:space="preserve">to many </w:t>
      </w:r>
      <w:r w:rsidR="00303530">
        <w:t>organization</w:t>
      </w:r>
      <w:r w:rsidR="00347034">
        <w:t>s would appear to be only via TDWG members. This perspective would likely be far too technical and limited in scope to communicate effectiv</w:t>
      </w:r>
      <w:r w:rsidR="00444FC8">
        <w:t xml:space="preserve">ely with heads of </w:t>
      </w:r>
      <w:r w:rsidR="00303530">
        <w:t>organization</w:t>
      </w:r>
      <w:r w:rsidR="00444FC8">
        <w:t>s.</w:t>
      </w:r>
    </w:p>
    <w:p w14:paraId="1201EDDF" w14:textId="77777777" w:rsidR="00271515" w:rsidRDefault="009D3C83" w:rsidP="009D3C83">
      <w:pPr>
        <w:numPr>
          <w:ilvl w:val="0"/>
          <w:numId w:val="8"/>
        </w:numPr>
      </w:pPr>
      <w:r>
        <w:t>While related to (1)</w:t>
      </w:r>
      <w:r w:rsidR="00DA40E7">
        <w:t xml:space="preserve"> above</w:t>
      </w:r>
      <w:r>
        <w:t>, TDWG do</w:t>
      </w:r>
      <w:r w:rsidR="009C7140">
        <w:t>e</w:t>
      </w:r>
      <w:r>
        <w:t>s not appear to communicate effectively with what could be best described as the managers of TDWG members.</w:t>
      </w:r>
      <w:r w:rsidR="00466ECF">
        <w:t xml:space="preserve"> These</w:t>
      </w:r>
      <w:r w:rsidR="00347034">
        <w:t xml:space="preserve"> clients are the ‘middle managers’ of </w:t>
      </w:r>
      <w:r w:rsidR="00303530">
        <w:t>organization</w:t>
      </w:r>
      <w:r w:rsidR="00347034">
        <w:t xml:space="preserve">s whose staff support TDWG activities. </w:t>
      </w:r>
      <w:r w:rsidR="008E7BE0">
        <w:t>Discussions at TDWG 2005 suggested that members activities in TDWG projects was opportunistic</w:t>
      </w:r>
      <w:r w:rsidR="00686463">
        <w:t xml:space="preserve"> and limited by their ‘normal work’. The </w:t>
      </w:r>
      <w:r w:rsidR="00303530">
        <w:t>organization</w:t>
      </w:r>
      <w:r w:rsidR="00686463">
        <w:t xml:space="preserve">al head and middle management therefore have in most cases, a limited perspective of the significance of TDWG to their </w:t>
      </w:r>
      <w:r w:rsidR="00703AA0">
        <w:t xml:space="preserve">core </w:t>
      </w:r>
      <w:r w:rsidR="001F2C34">
        <w:t>business</w:t>
      </w:r>
      <w:r w:rsidR="00686463">
        <w:t>.</w:t>
      </w:r>
      <w:r w:rsidR="00D83FF9">
        <w:t xml:space="preserve"> It is likely that TDWG members spend a considerable proportion of their time in TDWG-related activities; work that could be done more effectively</w:t>
      </w:r>
      <w:r w:rsidR="00F14859">
        <w:t>,</w:t>
      </w:r>
      <w:r w:rsidR="00D83FF9">
        <w:t xml:space="preserve"> with effective interoperability standards and protocols.</w:t>
      </w:r>
      <w:r w:rsidR="00F14859">
        <w:t xml:space="preserve"> </w:t>
      </w:r>
    </w:p>
    <w:p w14:paraId="6F0F334A" w14:textId="77777777" w:rsidR="00E95DF8" w:rsidRDefault="00E95DF8" w:rsidP="009D3C83">
      <w:pPr>
        <w:numPr>
          <w:ilvl w:val="0"/>
          <w:numId w:val="8"/>
        </w:numPr>
      </w:pPr>
      <w:r>
        <w:t xml:space="preserve">TDWG does not appear to have any policy on </w:t>
      </w:r>
      <w:r w:rsidRPr="004D510D">
        <w:rPr>
          <w:b/>
        </w:rPr>
        <w:t>Copyright</w:t>
      </w:r>
      <w:r>
        <w:t xml:space="preserve"> or </w:t>
      </w:r>
      <w:r w:rsidRPr="004D510D">
        <w:rPr>
          <w:b/>
        </w:rPr>
        <w:t>Intellectual Property</w:t>
      </w:r>
      <w:r>
        <w:t xml:space="preserve"> Rights. The majority of other standards bodies reviewed usually had these issues close to</w:t>
      </w:r>
      <w:r w:rsidR="00271515">
        <w:t>, if not on</w:t>
      </w:r>
      <w:r>
        <w:t xml:space="preserve"> their home pages.</w:t>
      </w:r>
    </w:p>
    <w:p w14:paraId="352F8F53" w14:textId="77777777" w:rsidR="009117ED" w:rsidRDefault="00372B06" w:rsidP="009D3C83">
      <w:pPr>
        <w:numPr>
          <w:ilvl w:val="0"/>
          <w:numId w:val="8"/>
        </w:numPr>
      </w:pPr>
      <w:r>
        <w:t>T</w:t>
      </w:r>
      <w:r w:rsidR="009117ED">
        <w:t>DWG does no</w:t>
      </w:r>
      <w:r w:rsidR="00303530">
        <w:t xml:space="preserve">t appear to have a </w:t>
      </w:r>
      <w:r w:rsidR="00303530" w:rsidRPr="004D510D">
        <w:rPr>
          <w:b/>
        </w:rPr>
        <w:t>Glossary</w:t>
      </w:r>
      <w:r w:rsidR="00303530">
        <w:t xml:space="preserve"> of t</w:t>
      </w:r>
      <w:r w:rsidR="009117ED">
        <w:t>erms that would be useful for new members, interested clients or search engines.</w:t>
      </w:r>
    </w:p>
    <w:p w14:paraId="7C9A3D23" w14:textId="77777777" w:rsidR="009341DC" w:rsidRDefault="009341DC" w:rsidP="009D3C83">
      <w:pPr>
        <w:numPr>
          <w:ilvl w:val="0"/>
          <w:numId w:val="8"/>
        </w:numPr>
      </w:pPr>
      <w:r>
        <w:t xml:space="preserve">Evidence of the lack of a strong and well-defined process has been in the development dichotomy </w:t>
      </w:r>
      <w:r w:rsidR="00D842FB">
        <w:t xml:space="preserve">between </w:t>
      </w:r>
      <w:r>
        <w:t xml:space="preserve">Darwin Core – ABCD and consequently </w:t>
      </w:r>
      <w:r w:rsidR="00372B06">
        <w:t xml:space="preserve">BioCASe </w:t>
      </w:r>
      <w:r>
        <w:t xml:space="preserve">and </w:t>
      </w:r>
      <w:r w:rsidR="00372B06">
        <w:t>DiGIR</w:t>
      </w:r>
      <w:r>
        <w:t>.</w:t>
      </w:r>
      <w:r w:rsidR="008F4CA4">
        <w:t xml:space="preserve"> It would appear that TAPIR is trying to play ‘catch-up’ for tangential developments.</w:t>
      </w:r>
      <w:r w:rsidR="00C3701A">
        <w:t xml:space="preserve"> See Recommendation </w:t>
      </w:r>
      <w:r w:rsidR="00071D03">
        <w:t>D</w:t>
      </w:r>
      <w:r w:rsidR="004D510D">
        <w:t>1</w:t>
      </w:r>
      <w:r w:rsidR="00C3701A">
        <w:t>.</w:t>
      </w:r>
    </w:p>
    <w:p w14:paraId="44286DB0" w14:textId="77777777" w:rsidR="00E06A93" w:rsidRDefault="00E06A93" w:rsidP="009D3C83">
      <w:pPr>
        <w:numPr>
          <w:ilvl w:val="0"/>
          <w:numId w:val="8"/>
        </w:numPr>
      </w:pPr>
      <w:r>
        <w:t xml:space="preserve">I </w:t>
      </w:r>
      <w:r w:rsidR="001F2C34">
        <w:t xml:space="preserve">didn’t detect </w:t>
      </w:r>
      <w:r>
        <w:t xml:space="preserve">evidence of a strong </w:t>
      </w:r>
      <w:r w:rsidRPr="00EA4A6E">
        <w:rPr>
          <w:b/>
        </w:rPr>
        <w:t>consensus</w:t>
      </w:r>
      <w:r>
        <w:t xml:space="preserve"> ethic in TDWG. Consensus was a theme that was obvious in many of the other standards organizations reviewed.</w:t>
      </w:r>
    </w:p>
    <w:p w14:paraId="5E04CA15" w14:textId="77777777" w:rsidR="007F3C4E" w:rsidRPr="009D3C83" w:rsidRDefault="007F3C4E" w:rsidP="009D3C83">
      <w:pPr>
        <w:numPr>
          <w:ilvl w:val="0"/>
          <w:numId w:val="8"/>
        </w:numPr>
      </w:pPr>
      <w:r>
        <w:t xml:space="preserve">Lack of </w:t>
      </w:r>
      <w:r w:rsidR="00145748" w:rsidRPr="00EA4A6E">
        <w:rPr>
          <w:b/>
        </w:rPr>
        <w:t>formalized</w:t>
      </w:r>
      <w:r w:rsidRPr="00EA4A6E">
        <w:rPr>
          <w:b/>
        </w:rPr>
        <w:t xml:space="preserve"> links</w:t>
      </w:r>
      <w:r>
        <w:t xml:space="preserve"> to related standards </w:t>
      </w:r>
      <w:r w:rsidR="003E100E">
        <w:t xml:space="preserve">organizations </w:t>
      </w:r>
      <w:r>
        <w:t xml:space="preserve">such as OGC. </w:t>
      </w:r>
    </w:p>
    <w:p w14:paraId="78C97CF7" w14:textId="77777777" w:rsidR="009D3C83" w:rsidRDefault="009D3C83" w:rsidP="009D3C83">
      <w:pPr>
        <w:pStyle w:val="Heading3"/>
      </w:pPr>
      <w:bookmarkStart w:id="5" w:name="_Toc124592120"/>
      <w:r>
        <w:t>Recommendations</w:t>
      </w:r>
      <w:bookmarkEnd w:id="5"/>
    </w:p>
    <w:p w14:paraId="64CBFACD" w14:textId="77777777" w:rsidR="00E77E2C" w:rsidRDefault="00E77E2C" w:rsidP="00E77E2C">
      <w:pPr>
        <w:numPr>
          <w:ilvl w:val="0"/>
          <w:numId w:val="16"/>
        </w:numPr>
      </w:pPr>
      <w:r>
        <w:t>Expand the TDWG Executive to include a member responsible for ‘</w:t>
      </w:r>
      <w:r w:rsidRPr="00EA4A6E">
        <w:rPr>
          <w:b/>
        </w:rPr>
        <w:t>outreach</w:t>
      </w:r>
      <w:r>
        <w:t>’. This member works with the Chair of TDWG to identify key activities during the up-coming year, with a recognition of the responsibility to the host organization and country during the annual meetings.</w:t>
      </w:r>
    </w:p>
    <w:p w14:paraId="00617A0C" w14:textId="77777777" w:rsidR="00686463" w:rsidRDefault="00353F16" w:rsidP="00D05226">
      <w:pPr>
        <w:numPr>
          <w:ilvl w:val="0"/>
          <w:numId w:val="16"/>
        </w:numPr>
      </w:pPr>
      <w:r>
        <w:t xml:space="preserve">Effective </w:t>
      </w:r>
      <w:r w:rsidR="005F0CA3">
        <w:t>‘</w:t>
      </w:r>
      <w:r w:rsidR="005F0CA3" w:rsidRPr="00EA4A6E">
        <w:rPr>
          <w:b/>
        </w:rPr>
        <w:t>push and pull</w:t>
      </w:r>
      <w:r w:rsidR="005F0CA3">
        <w:t xml:space="preserve">’ </w:t>
      </w:r>
      <w:r>
        <w:t xml:space="preserve">communication must be developed that </w:t>
      </w:r>
      <w:r w:rsidR="00D05226">
        <w:t>targets</w:t>
      </w:r>
      <w:r w:rsidR="00686463">
        <w:t xml:space="preserve"> </w:t>
      </w:r>
    </w:p>
    <w:p w14:paraId="3693BD3B" w14:textId="77777777" w:rsidR="00D05226" w:rsidRDefault="00D05226" w:rsidP="00686463">
      <w:pPr>
        <w:numPr>
          <w:ilvl w:val="1"/>
          <w:numId w:val="16"/>
        </w:numPr>
      </w:pPr>
      <w:r>
        <w:t xml:space="preserve">Heads of </w:t>
      </w:r>
      <w:r w:rsidR="00303530">
        <w:t>organization</w:t>
      </w:r>
      <w:r>
        <w:t>s</w:t>
      </w:r>
      <w:r w:rsidR="005705F1">
        <w:t xml:space="preserve"> and </w:t>
      </w:r>
    </w:p>
    <w:p w14:paraId="5CCF53FB" w14:textId="77777777" w:rsidR="00D05226" w:rsidRDefault="00D05226" w:rsidP="00D05226">
      <w:pPr>
        <w:numPr>
          <w:ilvl w:val="1"/>
          <w:numId w:val="16"/>
        </w:numPr>
      </w:pPr>
      <w:r>
        <w:t xml:space="preserve">Middle managers of </w:t>
      </w:r>
      <w:r w:rsidR="00303530">
        <w:t>organization</w:t>
      </w:r>
      <w:r>
        <w:t>s who have or should have staff that are TDWG members.</w:t>
      </w:r>
    </w:p>
    <w:p w14:paraId="18D59A5B" w14:textId="77777777" w:rsidR="00293020" w:rsidRDefault="00253EAB" w:rsidP="00293020">
      <w:pPr>
        <w:ind w:left="720"/>
      </w:pPr>
      <w:r>
        <w:t>The trigger for new ‘push’ communication should be, at the latest, when approval is given for the formation of a new ‘</w:t>
      </w:r>
      <w:r w:rsidR="00311E1C">
        <w:t>Task Group</w:t>
      </w:r>
      <w:r>
        <w:t xml:space="preserve">’. </w:t>
      </w:r>
      <w:r w:rsidR="00303530">
        <w:t>Organization</w:t>
      </w:r>
      <w:r w:rsidR="00293020">
        <w:t>s</w:t>
      </w:r>
      <w:r>
        <w:t xml:space="preserve"> and middle managers (</w:t>
      </w:r>
      <w:r w:rsidR="00293020">
        <w:t xml:space="preserve">the latter </w:t>
      </w:r>
      <w:r>
        <w:t xml:space="preserve">through TDWG staff conduits) should be provided with a </w:t>
      </w:r>
      <w:r>
        <w:lastRenderedPageBreak/>
        <w:t xml:space="preserve">concise </w:t>
      </w:r>
      <w:r w:rsidR="001F2C34">
        <w:t xml:space="preserve">(&lt; 1 page) </w:t>
      </w:r>
      <w:r>
        <w:t>summary</w:t>
      </w:r>
      <w:r w:rsidR="001F2C34">
        <w:t xml:space="preserve"> </w:t>
      </w:r>
      <w:r>
        <w:t>of the n</w:t>
      </w:r>
      <w:r w:rsidR="00C762DE">
        <w:t>ew initiative. I</w:t>
      </w:r>
      <w:r w:rsidR="001F2C34">
        <w:t xml:space="preserve"> would recommend </w:t>
      </w:r>
      <w:r w:rsidR="00C762DE">
        <w:t>C</w:t>
      </w:r>
      <w:r w:rsidR="004A781A">
        <w:t>1</w:t>
      </w:r>
      <w:r w:rsidR="00C762DE">
        <w:t>(a</w:t>
      </w:r>
      <w:r w:rsidR="004A781A">
        <w:t xml:space="preserve">, g, j and k) </w:t>
      </w:r>
      <w:r w:rsidR="001806F8">
        <w:t xml:space="preserve">from a Charter </w:t>
      </w:r>
      <w:r w:rsidR="004A781A">
        <w:t>as a minimum</w:t>
      </w:r>
      <w:r w:rsidR="00293020">
        <w:t xml:space="preserve">. This </w:t>
      </w:r>
      <w:r w:rsidR="006123E3">
        <w:t xml:space="preserve">action </w:t>
      </w:r>
      <w:r w:rsidR="00293020">
        <w:t>could be semi-automated.</w:t>
      </w:r>
    </w:p>
    <w:p w14:paraId="558F4430" w14:textId="77777777" w:rsidR="00293020" w:rsidRDefault="00996330" w:rsidP="001E58A3">
      <w:pPr>
        <w:numPr>
          <w:ilvl w:val="0"/>
          <w:numId w:val="16"/>
        </w:numPr>
      </w:pPr>
      <w:r>
        <w:t>A</w:t>
      </w:r>
      <w:r w:rsidR="00917E59">
        <w:t xml:space="preserve"> </w:t>
      </w:r>
      <w:r w:rsidR="00293020">
        <w:t>one hour Plenary Session at TDWG 2006 t</w:t>
      </w:r>
      <w:r>
        <w:t xml:space="preserve">o discuss </w:t>
      </w:r>
      <w:r w:rsidR="00293020">
        <w:t xml:space="preserve">what the relationship was between TDWG members ‘normal work’ and TDWG initiatives. These ‘data’ would provide a better understanding of what strategies TDWG may employ to </w:t>
      </w:r>
      <w:r>
        <w:t xml:space="preserve">gain greater </w:t>
      </w:r>
      <w:r w:rsidR="00293020">
        <w:t>supp</w:t>
      </w:r>
      <w:r>
        <w:t>ort</w:t>
      </w:r>
      <w:r w:rsidR="00293020">
        <w:t>.</w:t>
      </w:r>
    </w:p>
    <w:p w14:paraId="7437C8F0" w14:textId="77777777" w:rsidR="00933701" w:rsidRDefault="00933701" w:rsidP="001E58A3">
      <w:pPr>
        <w:numPr>
          <w:ilvl w:val="0"/>
          <w:numId w:val="16"/>
        </w:numPr>
      </w:pPr>
      <w:r>
        <w:t>Steal a ‘best-practice’ example of</w:t>
      </w:r>
      <w:r w:rsidRPr="00EA4A6E">
        <w:rPr>
          <w:b/>
        </w:rPr>
        <w:t xml:space="preserve"> IP</w:t>
      </w:r>
      <w:r>
        <w:t xml:space="preserve"> and </w:t>
      </w:r>
      <w:r w:rsidRPr="00EA4A6E">
        <w:rPr>
          <w:b/>
        </w:rPr>
        <w:t>Copyright</w:t>
      </w:r>
      <w:r>
        <w:t xml:space="preserve"> from other standards development groups.</w:t>
      </w:r>
      <w:r w:rsidR="00814849">
        <w:t xml:space="preserve"> My review of other similar organi</w:t>
      </w:r>
      <w:r w:rsidR="00A06FB5">
        <w:t>z</w:t>
      </w:r>
      <w:r w:rsidR="00814849">
        <w:t xml:space="preserve">ations suggests that </w:t>
      </w:r>
      <w:r w:rsidR="00BB6FAD">
        <w:t xml:space="preserve">the IETF text on IP would be applicable, see </w:t>
      </w:r>
      <w:hyperlink r:id="rId9" w:history="1">
        <w:r w:rsidR="00BB6FAD" w:rsidRPr="00C63475">
          <w:rPr>
            <w:rStyle w:val="Hyperlink"/>
          </w:rPr>
          <w:t>http://www.ietf.org/IESG/Section10.txt</w:t>
        </w:r>
      </w:hyperlink>
      <w:r w:rsidR="00BB6FAD">
        <w:t xml:space="preserve">. </w:t>
      </w:r>
      <w:r w:rsidR="00FC0572">
        <w:t>I am not in a position to advise on Copyright</w:t>
      </w:r>
      <w:r w:rsidR="006E4667">
        <w:t xml:space="preserve"> that may be applicable to </w:t>
      </w:r>
      <w:r w:rsidR="00FC0572">
        <w:t>TDWG</w:t>
      </w:r>
      <w:r w:rsidR="006E4667">
        <w:t xml:space="preserve">. </w:t>
      </w:r>
      <w:r w:rsidR="00894EB0">
        <w:t xml:space="preserve"> TDWG does however require a position on copyright. </w:t>
      </w:r>
    </w:p>
    <w:p w14:paraId="1B24A7C9" w14:textId="77777777" w:rsidR="00FB4AB1" w:rsidRDefault="00FC0572" w:rsidP="001E58A3">
      <w:pPr>
        <w:numPr>
          <w:ilvl w:val="0"/>
          <w:numId w:val="16"/>
        </w:numPr>
      </w:pPr>
      <w:r>
        <w:t>TDWG requires at a minimum, a standard ‘</w:t>
      </w:r>
      <w:r w:rsidRPr="00EA4A6E">
        <w:rPr>
          <w:b/>
        </w:rPr>
        <w:t>Glossary</w:t>
      </w:r>
      <w:r>
        <w:t>’</w:t>
      </w:r>
      <w:r w:rsidR="00BD5C73">
        <w:t xml:space="preserve"> that includes </w:t>
      </w:r>
      <w:r w:rsidR="00FB4AB1">
        <w:t>abbreviations and acronyms</w:t>
      </w:r>
      <w:r>
        <w:t xml:space="preserve">. Over time, this could evolve into one or more </w:t>
      </w:r>
      <w:r w:rsidRPr="0041300B">
        <w:rPr>
          <w:b/>
        </w:rPr>
        <w:t>ontologies</w:t>
      </w:r>
      <w:r>
        <w:t xml:space="preserve">. </w:t>
      </w:r>
      <w:r w:rsidR="004D510D">
        <w:t>A glossary</w:t>
      </w:r>
      <w:r>
        <w:t xml:space="preserve"> resource needs to be accessible from the TDWG Home Page. Without such a resource, </w:t>
      </w:r>
      <w:r w:rsidR="00303530">
        <w:t>Organization</w:t>
      </w:r>
      <w:r w:rsidR="000770E9">
        <w:t xml:space="preserve">al directors, middle managers and </w:t>
      </w:r>
      <w:r>
        <w:t xml:space="preserve">new </w:t>
      </w:r>
      <w:r w:rsidR="000770E9">
        <w:t xml:space="preserve">TDWG </w:t>
      </w:r>
      <w:r>
        <w:t xml:space="preserve">members are likely to </w:t>
      </w:r>
      <w:r w:rsidR="00BF39CB">
        <w:t>find entry to TDWG information difficult</w:t>
      </w:r>
      <w:r>
        <w:t>.</w:t>
      </w:r>
      <w:r w:rsidR="00FB4AB1">
        <w:t xml:space="preserve"> Such as resource would be an anticipated outcome of </w:t>
      </w:r>
      <w:r w:rsidR="001E58A3">
        <w:t>the TDWG Infrastructure Project Task 2 (environment)</w:t>
      </w:r>
      <w:r w:rsidR="00FB4AB1">
        <w:t>.</w:t>
      </w:r>
    </w:p>
    <w:p w14:paraId="68458297" w14:textId="77777777" w:rsidR="001E58A3" w:rsidRDefault="00BF39CB" w:rsidP="001E58A3">
      <w:pPr>
        <w:numPr>
          <w:ilvl w:val="0"/>
          <w:numId w:val="16"/>
        </w:numPr>
      </w:pPr>
      <w:r>
        <w:t xml:space="preserve">Approved TDWG </w:t>
      </w:r>
      <w:r w:rsidR="00AF1487">
        <w:t xml:space="preserve">initiatives </w:t>
      </w:r>
      <w:r w:rsidR="00FB4AB1">
        <w:t xml:space="preserve">should be </w:t>
      </w:r>
      <w:r w:rsidR="00AF1487">
        <w:t xml:space="preserve">required to amend the Glossary as an early step in their Charter (see Recommendation </w:t>
      </w:r>
      <w:r w:rsidR="005E7341">
        <w:t>C1)</w:t>
      </w:r>
      <w:r w:rsidR="00FB4AB1">
        <w:t>.</w:t>
      </w:r>
    </w:p>
    <w:p w14:paraId="4DAFBA04" w14:textId="77777777" w:rsidR="005705F1" w:rsidRDefault="006422BF" w:rsidP="00F77578">
      <w:pPr>
        <w:numPr>
          <w:ilvl w:val="0"/>
          <w:numId w:val="16"/>
        </w:numPr>
      </w:pPr>
      <w:r w:rsidRPr="0041300B">
        <w:rPr>
          <w:b/>
        </w:rPr>
        <w:t>C</w:t>
      </w:r>
      <w:r w:rsidR="00AF69B4" w:rsidRPr="0041300B">
        <w:rPr>
          <w:b/>
        </w:rPr>
        <w:t>onsensus</w:t>
      </w:r>
      <w:r w:rsidR="00AF69B4">
        <w:t xml:space="preserve"> </w:t>
      </w:r>
      <w:r w:rsidR="00AB08EA">
        <w:t xml:space="preserve">should be </w:t>
      </w:r>
      <w:r>
        <w:t xml:space="preserve">a standard </w:t>
      </w:r>
      <w:r w:rsidR="0041300B">
        <w:t xml:space="preserve">charge within </w:t>
      </w:r>
      <w:r>
        <w:t xml:space="preserve">the Charter </w:t>
      </w:r>
      <w:r w:rsidR="00AB08EA">
        <w:t xml:space="preserve">of </w:t>
      </w:r>
      <w:r w:rsidR="00120137">
        <w:t xml:space="preserve">any </w:t>
      </w:r>
      <w:r w:rsidR="007E4CE4">
        <w:t>new TDWG initiative</w:t>
      </w:r>
      <w:r w:rsidR="00AB08EA">
        <w:t xml:space="preserve">. Consensus </w:t>
      </w:r>
      <w:r w:rsidR="00AF69B4">
        <w:t xml:space="preserve">forms a strong component </w:t>
      </w:r>
      <w:r w:rsidR="00C73264">
        <w:t>of many similar standards organizations</w:t>
      </w:r>
      <w:r w:rsidR="007E4CE4">
        <w:t>, and with good reason</w:t>
      </w:r>
      <w:r w:rsidR="00C73264">
        <w:t xml:space="preserve">. </w:t>
      </w:r>
      <w:r w:rsidR="002C3FA6">
        <w:t>Contention between vi</w:t>
      </w:r>
      <w:r w:rsidR="00A660DD">
        <w:t xml:space="preserve">ewpoints on new initiatives is inevitable, and healthy. </w:t>
      </w:r>
      <w:r w:rsidR="002D4C1F">
        <w:t xml:space="preserve">Consensus is a principle that </w:t>
      </w:r>
      <w:r w:rsidR="004F5DFB">
        <w:t xml:space="preserve">is easy to embrace, but </w:t>
      </w:r>
      <w:r w:rsidR="00CB67A2">
        <w:t xml:space="preserve">its effectiveness </w:t>
      </w:r>
      <w:r w:rsidR="004F5DFB">
        <w:t xml:space="preserve">largely relies on the skills </w:t>
      </w:r>
      <w:r w:rsidR="00F77578">
        <w:t xml:space="preserve">and effort </w:t>
      </w:r>
      <w:r w:rsidR="004F5DFB">
        <w:t xml:space="preserve">of the Chair. </w:t>
      </w:r>
      <w:r w:rsidR="00231371">
        <w:t>Effective consensus</w:t>
      </w:r>
      <w:r w:rsidR="00F77578">
        <w:t xml:space="preserve"> may take time, but maximizes the utility and acceptance of the outcome while </w:t>
      </w:r>
      <w:r w:rsidR="00231371">
        <w:t xml:space="preserve">minimizes the </w:t>
      </w:r>
      <w:r w:rsidR="00F77578">
        <w:t>overall heartache and time to deployment.</w:t>
      </w:r>
    </w:p>
    <w:p w14:paraId="697FF927" w14:textId="77777777" w:rsidR="00001A3B" w:rsidRPr="00353F16" w:rsidRDefault="00001A3B" w:rsidP="00F77578">
      <w:pPr>
        <w:numPr>
          <w:ilvl w:val="0"/>
          <w:numId w:val="16"/>
        </w:numPr>
      </w:pPr>
      <w:r>
        <w:t>At a minimum,</w:t>
      </w:r>
      <w:r w:rsidR="00217EFF">
        <w:t xml:space="preserve"> links to other standards bodies (people and subgroups) should be documented on the TDWG Web site.</w:t>
      </w:r>
      <w:r>
        <w:t xml:space="preserve"> </w:t>
      </w:r>
      <w:r w:rsidR="0045576C">
        <w:t xml:space="preserve">‘Linking </w:t>
      </w:r>
      <w:r>
        <w:t>members</w:t>
      </w:r>
      <w:r w:rsidR="0045576C">
        <w:t>’ assure</w:t>
      </w:r>
      <w:r w:rsidR="00A46CB5">
        <w:t>s</w:t>
      </w:r>
      <w:r w:rsidR="0045576C">
        <w:t xml:space="preserve"> that </w:t>
      </w:r>
      <w:r>
        <w:t xml:space="preserve">TDWG remains in context, draws </w:t>
      </w:r>
      <w:r w:rsidR="009B0783">
        <w:t>on and influences o</w:t>
      </w:r>
      <w:r>
        <w:t xml:space="preserve">ther standards where appropriate, and </w:t>
      </w:r>
      <w:r w:rsidR="00DE4924">
        <w:t>raise</w:t>
      </w:r>
      <w:r w:rsidR="00217EFF">
        <w:t>s</w:t>
      </w:r>
      <w:r>
        <w:t xml:space="preserve"> its </w:t>
      </w:r>
      <w:r w:rsidR="008B714A">
        <w:t xml:space="preserve">own </w:t>
      </w:r>
      <w:r>
        <w:t>profile.</w:t>
      </w:r>
      <w:r w:rsidR="004F40B2">
        <w:t xml:space="preserve"> </w:t>
      </w:r>
      <w:r w:rsidR="009D2BBD">
        <w:t xml:space="preserve">Wherever possible, members of other standards organizations should be encouraged to join TDWG. </w:t>
      </w:r>
      <w:r w:rsidR="004F40B2">
        <w:t>In som</w:t>
      </w:r>
      <w:r w:rsidR="009D2BBD">
        <w:t xml:space="preserve">e cases where financial resources permit and mutual interest is high, </w:t>
      </w:r>
      <w:r w:rsidR="009004E0">
        <w:t xml:space="preserve">TDWG </w:t>
      </w:r>
      <w:r w:rsidR="004F40B2">
        <w:t>membership of other standard organizations</w:t>
      </w:r>
      <w:r w:rsidR="009D2BBD">
        <w:t xml:space="preserve"> such as OGC could be considered.</w:t>
      </w:r>
      <w:r w:rsidR="009004E0">
        <w:t xml:space="preserve"> An alternative could include payment or subsidization of TDWG members in other standards organizations.</w:t>
      </w:r>
    </w:p>
    <w:p w14:paraId="6D8634DE" w14:textId="77777777" w:rsidR="008B4BBB" w:rsidRDefault="00C21196" w:rsidP="00F42012">
      <w:pPr>
        <w:pStyle w:val="Heading2"/>
      </w:pPr>
      <w:r>
        <w:br w:type="page"/>
      </w:r>
      <w:bookmarkStart w:id="6" w:name="_Toc124592121"/>
      <w:r w:rsidR="00AF1487">
        <w:lastRenderedPageBreak/>
        <w:t xml:space="preserve">B: </w:t>
      </w:r>
      <w:r w:rsidR="008B4BBB">
        <w:t>TDWG Annual Meeting</w:t>
      </w:r>
      <w:bookmarkEnd w:id="6"/>
    </w:p>
    <w:p w14:paraId="50A71179" w14:textId="77777777" w:rsidR="00F42012" w:rsidRPr="00F42012" w:rsidRDefault="00F42012" w:rsidP="00F42012">
      <w:pPr>
        <w:pStyle w:val="Heading3"/>
      </w:pPr>
      <w:bookmarkStart w:id="7" w:name="_Toc124592122"/>
      <w:r>
        <w:t>Observations</w:t>
      </w:r>
      <w:bookmarkEnd w:id="7"/>
    </w:p>
    <w:p w14:paraId="34562D4B" w14:textId="77777777" w:rsidR="008B4BBB" w:rsidRDefault="008B4BBB" w:rsidP="008B4BBB">
      <w:r>
        <w:t>The current emphasis on the TDWG annual meeting creates significant problems-</w:t>
      </w:r>
    </w:p>
    <w:p w14:paraId="69146405" w14:textId="77777777" w:rsidR="008B4BBB" w:rsidRDefault="008B4BBB" w:rsidP="00BE72DE">
      <w:pPr>
        <w:numPr>
          <w:ilvl w:val="0"/>
          <w:numId w:val="17"/>
        </w:numPr>
      </w:pPr>
      <w:r>
        <w:t>There is less incentive for regular progress the development of standards and protocols when</w:t>
      </w:r>
      <w:r w:rsidR="00A57C19">
        <w:t xml:space="preserve"> the annual meeting creates an </w:t>
      </w:r>
      <w:r>
        <w:t xml:space="preserve">opportunity for intensive </w:t>
      </w:r>
      <w:r w:rsidR="00E44D08">
        <w:t xml:space="preserve">face-to-face </w:t>
      </w:r>
      <w:r>
        <w:t>communication.</w:t>
      </w:r>
      <w:r w:rsidR="00AE061D">
        <w:t xml:space="preserve"> No comprehensive supportive collaboration environment exists.</w:t>
      </w:r>
    </w:p>
    <w:p w14:paraId="4E4E027C" w14:textId="77777777" w:rsidR="008B4BBB" w:rsidRDefault="008B4BBB" w:rsidP="008B4BBB">
      <w:pPr>
        <w:numPr>
          <w:ilvl w:val="0"/>
          <w:numId w:val="17"/>
        </w:numPr>
      </w:pPr>
      <w:r>
        <w:t xml:space="preserve">The annual meeting </w:t>
      </w:r>
      <w:r w:rsidR="00E44D08">
        <w:t xml:space="preserve">has been </w:t>
      </w:r>
      <w:r>
        <w:t xml:space="preserve">the only occasion for </w:t>
      </w:r>
      <w:r w:rsidRPr="00A07532">
        <w:rPr>
          <w:b/>
        </w:rPr>
        <w:t>voting</w:t>
      </w:r>
      <w:r>
        <w:t xml:space="preserve"> </w:t>
      </w:r>
      <w:r w:rsidR="009B0142">
        <w:t>on</w:t>
      </w:r>
      <w:r>
        <w:t xml:space="preserve"> new standard</w:t>
      </w:r>
      <w:r w:rsidR="00E44D08">
        <w:t>s</w:t>
      </w:r>
      <w:r w:rsidR="00497FA5">
        <w:t>/protocols</w:t>
      </w:r>
      <w:r>
        <w:t>.</w:t>
      </w:r>
    </w:p>
    <w:p w14:paraId="21C233C1" w14:textId="77777777" w:rsidR="00F42012" w:rsidRDefault="008B4BBB" w:rsidP="00F42012">
      <w:pPr>
        <w:numPr>
          <w:ilvl w:val="0"/>
          <w:numId w:val="17"/>
        </w:numPr>
      </w:pPr>
      <w:r>
        <w:t xml:space="preserve">The annual meeting creates a conflict between using face-to-face time to advance a standard and an environment </w:t>
      </w:r>
      <w:r w:rsidR="00F42012">
        <w:t>to communicate less formally</w:t>
      </w:r>
      <w:r w:rsidR="00AF2DBA">
        <w:t xml:space="preserve"> o</w:t>
      </w:r>
      <w:r w:rsidR="00372B06">
        <w:t>n</w:t>
      </w:r>
      <w:r w:rsidR="00AF2DBA">
        <w:t xml:space="preserve"> a wider range of issues</w:t>
      </w:r>
      <w:r w:rsidR="00F42012">
        <w:t>.</w:t>
      </w:r>
      <w:r w:rsidR="005C1728">
        <w:t xml:space="preserve"> The ongoing SDD meeting created a parallel stream.</w:t>
      </w:r>
    </w:p>
    <w:p w14:paraId="32482B63" w14:textId="77777777" w:rsidR="00F42012" w:rsidRDefault="00F42012" w:rsidP="00F42012">
      <w:pPr>
        <w:numPr>
          <w:ilvl w:val="0"/>
          <w:numId w:val="17"/>
        </w:numPr>
      </w:pPr>
      <w:r>
        <w:t>The workload that the annual meeting places on the Executive makes it d</w:t>
      </w:r>
      <w:r w:rsidR="003E448D">
        <w:t xml:space="preserve">ifficult </w:t>
      </w:r>
      <w:r w:rsidR="002248D9">
        <w:t xml:space="preserve">for them </w:t>
      </w:r>
      <w:r w:rsidR="003E448D">
        <w:t>to be more involved</w:t>
      </w:r>
      <w:r w:rsidR="00E368D9">
        <w:t xml:space="preserve"> with the meetings and in outreach.</w:t>
      </w:r>
    </w:p>
    <w:p w14:paraId="15B53841" w14:textId="77777777" w:rsidR="00E76D2B" w:rsidRDefault="009D0954" w:rsidP="00E76D2B">
      <w:pPr>
        <w:numPr>
          <w:ilvl w:val="0"/>
          <w:numId w:val="17"/>
        </w:numPr>
      </w:pPr>
      <w:r>
        <w:t xml:space="preserve">Many presentations during the </w:t>
      </w:r>
      <w:r w:rsidR="002248D9">
        <w:t xml:space="preserve">TDWG annual </w:t>
      </w:r>
      <w:r>
        <w:t xml:space="preserve">meeting do not communicate </w:t>
      </w:r>
      <w:r w:rsidR="002248D9">
        <w:t xml:space="preserve">effectively </w:t>
      </w:r>
      <w:r>
        <w:t>to new and potential new members.</w:t>
      </w:r>
      <w:r w:rsidR="00E77E2C">
        <w:t xml:space="preserve"> It required considerable effort on my part at TDWG 2005 to understand a context and significance for &gt;</w:t>
      </w:r>
      <w:r w:rsidR="00A07532">
        <w:t>8</w:t>
      </w:r>
      <w:r w:rsidR="00E77E2C">
        <w:t>0% of the presentations.</w:t>
      </w:r>
    </w:p>
    <w:p w14:paraId="643BCD6F" w14:textId="77777777" w:rsidR="00E76D2B" w:rsidRDefault="00E76D2B" w:rsidP="00E76D2B">
      <w:pPr>
        <w:numPr>
          <w:ilvl w:val="0"/>
          <w:numId w:val="17"/>
        </w:numPr>
      </w:pPr>
      <w:r>
        <w:t xml:space="preserve">Dominance of the meeting by English native speakers has created a barrier in communications – even </w:t>
      </w:r>
      <w:r w:rsidR="00551C61">
        <w:t xml:space="preserve">people familiar </w:t>
      </w:r>
      <w:r w:rsidR="00B105F1">
        <w:t>with</w:t>
      </w:r>
      <w:r w:rsidR="00551C61">
        <w:t xml:space="preserve"> the subject matter and generally very fluent in English had difficulties understanding some of the discussions. </w:t>
      </w:r>
    </w:p>
    <w:p w14:paraId="65450186" w14:textId="77777777" w:rsidR="00F42012" w:rsidRDefault="00F42012" w:rsidP="00F42012">
      <w:pPr>
        <w:pStyle w:val="Heading3"/>
      </w:pPr>
      <w:bookmarkStart w:id="8" w:name="_Toc124592123"/>
      <w:r>
        <w:t>Recommendations</w:t>
      </w:r>
      <w:bookmarkEnd w:id="8"/>
    </w:p>
    <w:p w14:paraId="23586898" w14:textId="77777777" w:rsidR="0050090A" w:rsidRDefault="00F42012" w:rsidP="0050090A">
      <w:pPr>
        <w:numPr>
          <w:ilvl w:val="0"/>
          <w:numId w:val="5"/>
        </w:numPr>
      </w:pPr>
      <w:r>
        <w:t xml:space="preserve">Delegate responsibility for organizing the TDWG annual meeting to a </w:t>
      </w:r>
      <w:r w:rsidR="00303530">
        <w:t>subgroup</w:t>
      </w:r>
      <w:r>
        <w:t xml:space="preserve"> of members with the Secretary of TDWG as the Executive</w:t>
      </w:r>
      <w:r w:rsidR="00372B06">
        <w:t>’</w:t>
      </w:r>
      <w:r>
        <w:t>s representative</w:t>
      </w:r>
      <w:r w:rsidR="009B0142">
        <w:t xml:space="preserve"> on this </w:t>
      </w:r>
      <w:r w:rsidR="00303530">
        <w:t>subgroup</w:t>
      </w:r>
      <w:r>
        <w:t xml:space="preserve">. The </w:t>
      </w:r>
      <w:r w:rsidR="009B0142">
        <w:t>‘</w:t>
      </w:r>
      <w:r w:rsidR="009B0142" w:rsidRPr="00EA4A6E">
        <w:rPr>
          <w:b/>
        </w:rPr>
        <w:t>M</w:t>
      </w:r>
      <w:r w:rsidRPr="00EA4A6E">
        <w:rPr>
          <w:b/>
        </w:rPr>
        <w:t xml:space="preserve">eeting </w:t>
      </w:r>
      <w:r w:rsidR="00303530" w:rsidRPr="00EA4A6E">
        <w:rPr>
          <w:b/>
        </w:rPr>
        <w:t>subgroup</w:t>
      </w:r>
      <w:r w:rsidR="009B0142">
        <w:t>’</w:t>
      </w:r>
      <w:r>
        <w:t xml:space="preserve"> should be chaired by someone from the hosting agency. The </w:t>
      </w:r>
      <w:r w:rsidR="00CD1673">
        <w:t xml:space="preserve">‘Meeting </w:t>
      </w:r>
      <w:r w:rsidR="00303530">
        <w:t>subgroup</w:t>
      </w:r>
      <w:r w:rsidR="00CD1673">
        <w:t>’ C</w:t>
      </w:r>
      <w:r>
        <w:t>hair should be ex-officio, a member of the Executive for the year leading up to and including the annual meeting.</w:t>
      </w:r>
      <w:r w:rsidR="00E77E2C">
        <w:t xml:space="preserve"> </w:t>
      </w:r>
      <w:r>
        <w:t>The incoming an</w:t>
      </w:r>
      <w:r w:rsidR="00CD1673">
        <w:t>d</w:t>
      </w:r>
      <w:r>
        <w:t xml:space="preserve"> outgoing </w:t>
      </w:r>
      <w:r w:rsidR="00CD1673">
        <w:t xml:space="preserve">‘Meeting </w:t>
      </w:r>
      <w:r w:rsidR="00303530">
        <w:t>subgroup</w:t>
      </w:r>
      <w:r w:rsidR="00CD1673">
        <w:t>’ C</w:t>
      </w:r>
      <w:r>
        <w:t>hairs should overlap during the TDWG annual meeting.</w:t>
      </w:r>
      <w:r w:rsidR="00E77E2C">
        <w:t xml:space="preserve"> </w:t>
      </w:r>
      <w:r w:rsidR="009D0954">
        <w:t xml:space="preserve">It is the responsibility of the </w:t>
      </w:r>
      <w:r w:rsidR="00CD1673">
        <w:t>‘M</w:t>
      </w:r>
      <w:r w:rsidR="009D0954">
        <w:t>e</w:t>
      </w:r>
      <w:r w:rsidR="00CD1673">
        <w:t>e</w:t>
      </w:r>
      <w:r w:rsidR="009D0954">
        <w:t xml:space="preserve">ting </w:t>
      </w:r>
      <w:r w:rsidR="00303530">
        <w:t>subgroup</w:t>
      </w:r>
      <w:r w:rsidR="00CD1673">
        <w:t>’</w:t>
      </w:r>
      <w:r w:rsidR="009D0954">
        <w:t xml:space="preserve"> to ensure the smooth running of the meeting.</w:t>
      </w:r>
      <w:r w:rsidR="00E638E8">
        <w:t xml:space="preserve"> A member of the </w:t>
      </w:r>
      <w:r w:rsidR="00303530">
        <w:t>subgroup</w:t>
      </w:r>
      <w:r w:rsidR="00CD1673">
        <w:t xml:space="preserve"> </w:t>
      </w:r>
      <w:r w:rsidR="00E638E8">
        <w:t>should have responsibility to collect presentations from session chairs</w:t>
      </w:r>
      <w:r w:rsidR="00CD1673">
        <w:t xml:space="preserve"> immediately after each session, and ideally</w:t>
      </w:r>
      <w:r w:rsidR="00E053E8">
        <w:t>,</w:t>
      </w:r>
      <w:r w:rsidR="00CD1673">
        <w:t xml:space="preserve"> upload them to the TDWG Web site each evening.</w:t>
      </w:r>
      <w:r w:rsidR="00DF2AB3">
        <w:t xml:space="preserve"> </w:t>
      </w:r>
      <w:r w:rsidR="0050090A" w:rsidRPr="00DF2AB3">
        <w:rPr>
          <w:b/>
        </w:rPr>
        <w:t>Consequence</w:t>
      </w:r>
      <w:r w:rsidR="0050090A">
        <w:t xml:space="preserve">: invite Chuck Miller or another MO representative to serve on the Exec.? </w:t>
      </w:r>
    </w:p>
    <w:p w14:paraId="11B14CD0" w14:textId="77777777" w:rsidR="009D0954" w:rsidRDefault="009D0954" w:rsidP="00F42012">
      <w:pPr>
        <w:numPr>
          <w:ilvl w:val="0"/>
          <w:numId w:val="5"/>
        </w:numPr>
      </w:pPr>
      <w:r>
        <w:t xml:space="preserve">The first slide </w:t>
      </w:r>
      <w:r w:rsidR="00E638E8">
        <w:t>(</w:t>
      </w:r>
      <w:r w:rsidR="0055626F">
        <w:t>~</w:t>
      </w:r>
      <w:r w:rsidR="00E638E8">
        <w:t xml:space="preserve">2 minutes) </w:t>
      </w:r>
      <w:r>
        <w:t xml:space="preserve">of all presentations at the </w:t>
      </w:r>
      <w:r w:rsidR="005C05BA">
        <w:t xml:space="preserve">TDWG annual </w:t>
      </w:r>
      <w:r>
        <w:t xml:space="preserve">meeting </w:t>
      </w:r>
      <w:r w:rsidR="00E638E8">
        <w:t xml:space="preserve">should </w:t>
      </w:r>
      <w:r>
        <w:t>assume no knowledge of the issue</w:t>
      </w:r>
      <w:r w:rsidR="005C05BA">
        <w:t xml:space="preserve"> being presented</w:t>
      </w:r>
      <w:r>
        <w:t xml:space="preserve">. Each speaker should address in simple language </w:t>
      </w:r>
      <w:r w:rsidR="00F94D85">
        <w:t xml:space="preserve">issues </w:t>
      </w:r>
      <w:r>
        <w:t>such as</w:t>
      </w:r>
    </w:p>
    <w:p w14:paraId="59DC86E0" w14:textId="77777777" w:rsidR="00E77E2C" w:rsidRDefault="00E77E2C" w:rsidP="009D0954">
      <w:pPr>
        <w:numPr>
          <w:ilvl w:val="1"/>
          <w:numId w:val="5"/>
        </w:numPr>
      </w:pPr>
      <w:r>
        <w:t>Why this work being done</w:t>
      </w:r>
      <w:r w:rsidR="00A36A7F">
        <w:t xml:space="preserve"> (the TDWG context)</w:t>
      </w:r>
      <w:r>
        <w:t>?</w:t>
      </w:r>
    </w:p>
    <w:p w14:paraId="7C2F2BDE" w14:textId="77777777" w:rsidR="009D0954" w:rsidRDefault="00E77E2C" w:rsidP="009D0954">
      <w:pPr>
        <w:numPr>
          <w:ilvl w:val="1"/>
          <w:numId w:val="5"/>
        </w:numPr>
      </w:pPr>
      <w:r>
        <w:t>What strategy was used</w:t>
      </w:r>
      <w:r w:rsidR="009D5403">
        <w:t>?</w:t>
      </w:r>
    </w:p>
    <w:p w14:paraId="38B2E473" w14:textId="77777777" w:rsidR="0050090A" w:rsidRDefault="00E77E2C" w:rsidP="00E77E2C">
      <w:pPr>
        <w:numPr>
          <w:ilvl w:val="0"/>
          <w:numId w:val="5"/>
        </w:numPr>
      </w:pPr>
      <w:r>
        <w:t xml:space="preserve">Use a single venue </w:t>
      </w:r>
      <w:r w:rsidR="0035781C">
        <w:t xml:space="preserve">in easy walking distance from the </w:t>
      </w:r>
      <w:r>
        <w:t>accommodation. The venue should include ‘break-out’ rooms for impromptu meetings</w:t>
      </w:r>
      <w:r w:rsidR="00F31A00">
        <w:t xml:space="preserve">, </w:t>
      </w:r>
      <w:r>
        <w:t xml:space="preserve">an office </w:t>
      </w:r>
      <w:r w:rsidR="00F31A00">
        <w:t xml:space="preserve">dedicated to the </w:t>
      </w:r>
      <w:r>
        <w:t>Executive</w:t>
      </w:r>
      <w:r w:rsidR="00F31A00">
        <w:t xml:space="preserve"> and one for the ‘meeting subgroup’.</w:t>
      </w:r>
    </w:p>
    <w:p w14:paraId="41F2F2E8" w14:textId="77777777" w:rsidR="0050090A" w:rsidRDefault="0050090A" w:rsidP="0050090A">
      <w:pPr>
        <w:numPr>
          <w:ilvl w:val="0"/>
          <w:numId w:val="5"/>
        </w:numPr>
      </w:pPr>
      <w:r>
        <w:lastRenderedPageBreak/>
        <w:t xml:space="preserve">Session Chairs to intervene if discussions deteriorate into jargon, inauditable talks and heavy accented talk (either by calling upon contributors or by repeating and summarising statements). </w:t>
      </w:r>
    </w:p>
    <w:p w14:paraId="205D9409" w14:textId="77777777" w:rsidR="00A14099" w:rsidRPr="00F42012" w:rsidRDefault="00A14099" w:rsidP="00A14099">
      <w:pPr>
        <w:ind w:left="720"/>
      </w:pPr>
    </w:p>
    <w:p w14:paraId="4104EA5F" w14:textId="77777777" w:rsidR="00F42012" w:rsidRDefault="00C21196" w:rsidP="00F42012">
      <w:pPr>
        <w:pStyle w:val="Heading2"/>
      </w:pPr>
      <w:r>
        <w:br w:type="page"/>
      </w:r>
      <w:bookmarkStart w:id="9" w:name="_Toc124592124"/>
      <w:r w:rsidR="00AF1487">
        <w:lastRenderedPageBreak/>
        <w:t xml:space="preserve">C: </w:t>
      </w:r>
      <w:r w:rsidR="00F42012">
        <w:t xml:space="preserve">Establishment </w:t>
      </w:r>
      <w:r w:rsidR="00335F69">
        <w:t xml:space="preserve">and Operation of </w:t>
      </w:r>
      <w:r w:rsidR="000D4739">
        <w:t xml:space="preserve">TDWG </w:t>
      </w:r>
      <w:r w:rsidR="00303530">
        <w:t>Subgroup</w:t>
      </w:r>
      <w:r w:rsidR="00F42012">
        <w:t>s</w:t>
      </w:r>
      <w:bookmarkEnd w:id="9"/>
    </w:p>
    <w:p w14:paraId="74A014D4" w14:textId="77777777" w:rsidR="007B7EF8" w:rsidRDefault="007B7EF8" w:rsidP="007B7EF8">
      <w:pPr>
        <w:pStyle w:val="Heading3"/>
      </w:pPr>
      <w:bookmarkStart w:id="10" w:name="_Toc124592125"/>
      <w:r>
        <w:t>Observations</w:t>
      </w:r>
      <w:bookmarkEnd w:id="10"/>
    </w:p>
    <w:p w14:paraId="3C4BEC72" w14:textId="77777777" w:rsidR="003606A9" w:rsidRDefault="003606A9" w:rsidP="00BE72DE">
      <w:pPr>
        <w:numPr>
          <w:ilvl w:val="0"/>
          <w:numId w:val="18"/>
        </w:numPr>
      </w:pPr>
      <w:r>
        <w:t xml:space="preserve">There is no </w:t>
      </w:r>
      <w:r w:rsidRPr="00BA5141">
        <w:rPr>
          <w:b/>
        </w:rPr>
        <w:t>formal plan</w:t>
      </w:r>
      <w:r>
        <w:t xml:space="preserve"> outlining specifications, milestones, outcomes, membership, reporting</w:t>
      </w:r>
      <w:r w:rsidR="00EB2DDA">
        <w:t xml:space="preserve"> or a </w:t>
      </w:r>
      <w:r>
        <w:t xml:space="preserve">sunset clause for the establishment of a new </w:t>
      </w:r>
      <w:r w:rsidR="00303530">
        <w:t>subgroup</w:t>
      </w:r>
      <w:r>
        <w:t>.</w:t>
      </w:r>
    </w:p>
    <w:p w14:paraId="47BAACC0" w14:textId="77777777" w:rsidR="00BF1C47" w:rsidRDefault="003606A9" w:rsidP="00BF1C47">
      <w:pPr>
        <w:numPr>
          <w:ilvl w:val="0"/>
          <w:numId w:val="18"/>
        </w:numPr>
      </w:pPr>
      <w:r>
        <w:t>There is n</w:t>
      </w:r>
      <w:r w:rsidR="00BF1C47">
        <w:t xml:space="preserve">o formal </w:t>
      </w:r>
      <w:r w:rsidR="00BF1C47" w:rsidRPr="00BA5141">
        <w:rPr>
          <w:b/>
        </w:rPr>
        <w:t>checklist</w:t>
      </w:r>
      <w:r w:rsidR="00BF1C47">
        <w:t xml:space="preserve"> for </w:t>
      </w:r>
      <w:r>
        <w:t xml:space="preserve">an Executive group to evaluate a proposal to establish a new </w:t>
      </w:r>
      <w:r w:rsidR="00303530">
        <w:t>subgroup</w:t>
      </w:r>
      <w:r>
        <w:t>.</w:t>
      </w:r>
      <w:r w:rsidR="00BF1C47" w:rsidRPr="00BF1C47">
        <w:t xml:space="preserve"> </w:t>
      </w:r>
    </w:p>
    <w:p w14:paraId="5F822BB2" w14:textId="77777777" w:rsidR="00BF1C47" w:rsidRDefault="00EB2DDA" w:rsidP="00BF1C47">
      <w:pPr>
        <w:numPr>
          <w:ilvl w:val="0"/>
          <w:numId w:val="18"/>
        </w:numPr>
      </w:pPr>
      <w:r>
        <w:t>There is n</w:t>
      </w:r>
      <w:r w:rsidR="00BF1C47">
        <w:t xml:space="preserve">o </w:t>
      </w:r>
      <w:r w:rsidR="00D34B97" w:rsidRPr="00BA5141">
        <w:rPr>
          <w:b/>
        </w:rPr>
        <w:t>C</w:t>
      </w:r>
      <w:r w:rsidR="00BF1C47" w:rsidRPr="00BA5141">
        <w:rPr>
          <w:b/>
        </w:rPr>
        <w:t>harter</w:t>
      </w:r>
      <w:r w:rsidR="00BF1C47">
        <w:t xml:space="preserve"> </w:t>
      </w:r>
      <w:r w:rsidR="00D34B97">
        <w:t xml:space="preserve">applying to new initiatives in TDWG. Such a Charter </w:t>
      </w:r>
      <w:r w:rsidR="00BF1C47">
        <w:t xml:space="preserve">should </w:t>
      </w:r>
      <w:r w:rsidR="00204154">
        <w:t xml:space="preserve">address </w:t>
      </w:r>
      <w:r w:rsidR="00BF1C47">
        <w:t xml:space="preserve">issues such as identity, mandate, membership, </w:t>
      </w:r>
      <w:r w:rsidR="009F3495">
        <w:t xml:space="preserve">links to TDWG and other standards groups, </w:t>
      </w:r>
      <w:r w:rsidR="00BF1C47">
        <w:t>milestones</w:t>
      </w:r>
      <w:r w:rsidR="002C378D">
        <w:t>, outputs and outcomes.</w:t>
      </w:r>
    </w:p>
    <w:p w14:paraId="1FD345B9" w14:textId="77777777" w:rsidR="00BF1C47" w:rsidRDefault="00BF1C47" w:rsidP="00BF1C47">
      <w:pPr>
        <w:numPr>
          <w:ilvl w:val="0"/>
          <w:numId w:val="18"/>
        </w:numPr>
      </w:pPr>
      <w:r>
        <w:t xml:space="preserve">No </w:t>
      </w:r>
      <w:r w:rsidR="000253A6">
        <w:t>clearly-</w:t>
      </w:r>
      <w:r>
        <w:t xml:space="preserve">defined </w:t>
      </w:r>
      <w:r w:rsidRPr="00BA5141">
        <w:rPr>
          <w:b/>
        </w:rPr>
        <w:t xml:space="preserve">roles of </w:t>
      </w:r>
      <w:r w:rsidR="000253A6" w:rsidRPr="00BA5141">
        <w:rPr>
          <w:b/>
        </w:rPr>
        <w:t xml:space="preserve">the </w:t>
      </w:r>
      <w:r w:rsidRPr="00BA5141">
        <w:rPr>
          <w:b/>
        </w:rPr>
        <w:t>Executive</w:t>
      </w:r>
      <w:r>
        <w:t xml:space="preserve"> in relation to on-going </w:t>
      </w:r>
      <w:r w:rsidR="00303530">
        <w:t>subgroup</w:t>
      </w:r>
      <w:r>
        <w:t xml:space="preserve"> processes</w:t>
      </w:r>
      <w:r w:rsidR="000253A6">
        <w:t>.</w:t>
      </w:r>
    </w:p>
    <w:p w14:paraId="07269FEE" w14:textId="77777777" w:rsidR="00BF1C47" w:rsidRDefault="00BF1C47" w:rsidP="00BF1C47">
      <w:pPr>
        <w:numPr>
          <w:ilvl w:val="0"/>
          <w:numId w:val="18"/>
        </w:numPr>
      </w:pPr>
      <w:r>
        <w:t xml:space="preserve">No </w:t>
      </w:r>
      <w:r w:rsidRPr="00BA5141">
        <w:rPr>
          <w:b/>
        </w:rPr>
        <w:t>standard</w:t>
      </w:r>
      <w:r w:rsidR="00BA5141" w:rsidRPr="00BA5141">
        <w:rPr>
          <w:b/>
        </w:rPr>
        <w:t>ized</w:t>
      </w:r>
      <w:r w:rsidRPr="00BA5141">
        <w:rPr>
          <w:b/>
        </w:rPr>
        <w:t xml:space="preserve"> </w:t>
      </w:r>
      <w:r w:rsidR="00BA5141" w:rsidRPr="00BA5141">
        <w:rPr>
          <w:b/>
        </w:rPr>
        <w:t xml:space="preserve">collaborative </w:t>
      </w:r>
      <w:r w:rsidR="000253A6" w:rsidRPr="00BA5141">
        <w:rPr>
          <w:b/>
        </w:rPr>
        <w:t xml:space="preserve">development </w:t>
      </w:r>
      <w:r w:rsidRPr="00BA5141">
        <w:rPr>
          <w:b/>
        </w:rPr>
        <w:t>environment for</w:t>
      </w:r>
      <w:r>
        <w:t xml:space="preserve"> </w:t>
      </w:r>
      <w:r w:rsidR="00303530">
        <w:t>subgroup</w:t>
      </w:r>
      <w:r w:rsidR="000253A6">
        <w:t xml:space="preserve"> </w:t>
      </w:r>
      <w:r>
        <w:t>activities</w:t>
      </w:r>
      <w:r w:rsidR="000253A6">
        <w:t xml:space="preserve">. Each </w:t>
      </w:r>
      <w:r w:rsidR="00303530">
        <w:t>subgroup</w:t>
      </w:r>
      <w:r w:rsidR="000253A6">
        <w:t xml:space="preserve"> appears to have a different operational IT environment, most of which are hosted </w:t>
      </w:r>
      <w:r w:rsidR="00BA5141">
        <w:t>independently of T</w:t>
      </w:r>
      <w:r w:rsidR="000253A6">
        <w:t>DWG.</w:t>
      </w:r>
      <w:r w:rsidR="00885FDA">
        <w:t xml:space="preserve"> Members operating in more than one </w:t>
      </w:r>
      <w:r w:rsidR="00303530">
        <w:t>subgroup</w:t>
      </w:r>
      <w:r w:rsidR="00885FDA">
        <w:t xml:space="preserve"> concurrently or over time would find the different ‘environments’ and processes a barrier to involvement. Interested parties within, or external to TDWG would currently find it difficult to impossible to identify </w:t>
      </w:r>
      <w:r w:rsidR="00285045">
        <w:t>relevant information</w:t>
      </w:r>
      <w:r w:rsidR="00885FDA">
        <w:t>.</w:t>
      </w:r>
    </w:p>
    <w:p w14:paraId="6FD21924" w14:textId="77777777" w:rsidR="00BF1C47" w:rsidRDefault="000C4573" w:rsidP="00BF1C47">
      <w:pPr>
        <w:numPr>
          <w:ilvl w:val="0"/>
          <w:numId w:val="18"/>
        </w:numPr>
      </w:pPr>
      <w:r>
        <w:t xml:space="preserve">(Related to </w:t>
      </w:r>
      <w:r w:rsidR="00BB0BD9">
        <w:t>the point above</w:t>
      </w:r>
      <w:r>
        <w:t xml:space="preserve">) </w:t>
      </w:r>
      <w:r w:rsidR="00BF1C47">
        <w:t xml:space="preserve">No easy way for </w:t>
      </w:r>
      <w:r w:rsidR="00E752F7">
        <w:t xml:space="preserve">potential </w:t>
      </w:r>
      <w:r w:rsidR="00BF1C47">
        <w:t xml:space="preserve">new </w:t>
      </w:r>
      <w:r w:rsidR="00E752F7">
        <w:t xml:space="preserve">members of a </w:t>
      </w:r>
      <w:r w:rsidR="00303530">
        <w:t>subgroup</w:t>
      </w:r>
      <w:r w:rsidR="00E752F7">
        <w:t xml:space="preserve"> </w:t>
      </w:r>
      <w:r w:rsidR="00BF1C47">
        <w:t xml:space="preserve">to catch-up with </w:t>
      </w:r>
      <w:r w:rsidR="00303530">
        <w:t>subgroup</w:t>
      </w:r>
      <w:r w:rsidR="00E752F7">
        <w:t xml:space="preserve"> </w:t>
      </w:r>
      <w:r w:rsidR="00BF1C47">
        <w:t>activities</w:t>
      </w:r>
      <w:r w:rsidR="00E752F7">
        <w:t xml:space="preserve"> or </w:t>
      </w:r>
      <w:r w:rsidR="00BF1C47" w:rsidRPr="000D5E69">
        <w:rPr>
          <w:b/>
        </w:rPr>
        <w:t>status</w:t>
      </w:r>
      <w:r w:rsidR="00E752F7" w:rsidRPr="000D5E69">
        <w:rPr>
          <w:b/>
        </w:rPr>
        <w:t xml:space="preserve"> of the work</w:t>
      </w:r>
      <w:r w:rsidR="00E752F7">
        <w:t>.</w:t>
      </w:r>
    </w:p>
    <w:p w14:paraId="6A1B764F" w14:textId="77777777" w:rsidR="00BF1C47" w:rsidRDefault="00BF1C47" w:rsidP="00FD3CF1">
      <w:pPr>
        <w:numPr>
          <w:ilvl w:val="0"/>
          <w:numId w:val="18"/>
        </w:numPr>
      </w:pPr>
      <w:r>
        <w:t xml:space="preserve">No formal structure for differentiating </w:t>
      </w:r>
      <w:r w:rsidR="00101B54">
        <w:t xml:space="preserve">some form of </w:t>
      </w:r>
      <w:r w:rsidR="00101B54" w:rsidRPr="000D5E69">
        <w:rPr>
          <w:b/>
        </w:rPr>
        <w:t>Task</w:t>
      </w:r>
      <w:r w:rsidR="00FD3CF1" w:rsidRPr="000D5E69">
        <w:rPr>
          <w:b/>
        </w:rPr>
        <w:t xml:space="preserve"> Group</w:t>
      </w:r>
      <w:r w:rsidR="000D5E69">
        <w:rPr>
          <w:b/>
        </w:rPr>
        <w:t>s</w:t>
      </w:r>
      <w:r w:rsidR="00FD3CF1">
        <w:t xml:space="preserve"> from </w:t>
      </w:r>
      <w:r w:rsidR="00FD3CF1" w:rsidRPr="000D5E69">
        <w:rPr>
          <w:b/>
        </w:rPr>
        <w:t xml:space="preserve">Discussion </w:t>
      </w:r>
      <w:r w:rsidRPr="000D5E69">
        <w:rPr>
          <w:b/>
        </w:rPr>
        <w:t>G</w:t>
      </w:r>
      <w:r w:rsidR="00FD3CF1" w:rsidRPr="000D5E69">
        <w:rPr>
          <w:b/>
        </w:rPr>
        <w:t>roups</w:t>
      </w:r>
      <w:r w:rsidR="00FD3CF1">
        <w:t>.</w:t>
      </w:r>
      <w:r w:rsidR="00393BE6">
        <w:t xml:space="preserve"> It would appear that both </w:t>
      </w:r>
      <w:r w:rsidR="00CE2C56">
        <w:t xml:space="preserve">types of </w:t>
      </w:r>
      <w:r w:rsidR="00303530">
        <w:t>subgroup</w:t>
      </w:r>
      <w:r w:rsidR="00CE2C56">
        <w:t xml:space="preserve">s </w:t>
      </w:r>
      <w:r w:rsidR="00393BE6">
        <w:t xml:space="preserve">are </w:t>
      </w:r>
      <w:r w:rsidR="000D5E69">
        <w:t xml:space="preserve">required </w:t>
      </w:r>
      <w:r w:rsidR="00E36CA3">
        <w:t xml:space="preserve">within </w:t>
      </w:r>
      <w:r w:rsidR="000D5E69">
        <w:t>TDWG.</w:t>
      </w:r>
    </w:p>
    <w:p w14:paraId="3A9694AF" w14:textId="77777777" w:rsidR="00DB28DD" w:rsidRDefault="00347453" w:rsidP="00FD3CF1">
      <w:pPr>
        <w:numPr>
          <w:ilvl w:val="0"/>
          <w:numId w:val="18"/>
        </w:numPr>
      </w:pPr>
      <w:r>
        <w:t xml:space="preserve">There is no directory of subgroups. </w:t>
      </w:r>
      <w:r w:rsidR="00DB28DD">
        <w:t xml:space="preserve">Members of the Executive were uncertain of the status of many of the subgroups. </w:t>
      </w:r>
    </w:p>
    <w:p w14:paraId="3DD2CB33" w14:textId="77777777" w:rsidR="007B7EF8" w:rsidRDefault="007B7EF8" w:rsidP="007B7EF8">
      <w:pPr>
        <w:pStyle w:val="Heading3"/>
      </w:pPr>
      <w:bookmarkStart w:id="11" w:name="_Toc124592126"/>
      <w:r>
        <w:t>Recommendations</w:t>
      </w:r>
      <w:bookmarkEnd w:id="11"/>
    </w:p>
    <w:p w14:paraId="5ACA4442" w14:textId="77777777" w:rsidR="00EB2DDA" w:rsidRDefault="00EB2DDA" w:rsidP="00BE72DE">
      <w:pPr>
        <w:numPr>
          <w:ilvl w:val="0"/>
          <w:numId w:val="19"/>
        </w:numPr>
      </w:pPr>
      <w:r>
        <w:t xml:space="preserve">A </w:t>
      </w:r>
      <w:r w:rsidRPr="00327712">
        <w:rPr>
          <w:b/>
        </w:rPr>
        <w:t xml:space="preserve">standard </w:t>
      </w:r>
      <w:r w:rsidR="00327712">
        <w:rPr>
          <w:b/>
        </w:rPr>
        <w:t xml:space="preserve">application </w:t>
      </w:r>
      <w:r w:rsidRPr="00327712">
        <w:rPr>
          <w:b/>
        </w:rPr>
        <w:t>template</w:t>
      </w:r>
      <w:r>
        <w:t xml:space="preserve"> should be used by members wishing to establish a new initiative. Th</w:t>
      </w:r>
      <w:r w:rsidR="00412634">
        <w:t>is template s</w:t>
      </w:r>
      <w:r>
        <w:t xml:space="preserve">hould </w:t>
      </w:r>
      <w:r w:rsidR="00F7666C">
        <w:t xml:space="preserve">be </w:t>
      </w:r>
      <w:commentRangeStart w:id="12"/>
      <w:r w:rsidR="00F7666C">
        <w:t>Web-based</w:t>
      </w:r>
      <w:commentRangeEnd w:id="12"/>
      <w:r w:rsidR="001A7538">
        <w:rPr>
          <w:rStyle w:val="CommentReference"/>
          <w:sz w:val="22"/>
          <w:szCs w:val="20"/>
        </w:rPr>
        <w:commentReference w:id="12"/>
      </w:r>
      <w:r w:rsidR="00F7666C">
        <w:t xml:space="preserve">, and apply Discussion or </w:t>
      </w:r>
      <w:r w:rsidR="00311E1C">
        <w:t>Task Group</w:t>
      </w:r>
      <w:r w:rsidR="009914AA">
        <w:t xml:space="preserve">. </w:t>
      </w:r>
      <w:r w:rsidR="00CB60F6">
        <w:t>Discussion G</w:t>
      </w:r>
      <w:r w:rsidR="00412634">
        <w:t xml:space="preserve">roups would </w:t>
      </w:r>
      <w:r w:rsidR="00CB60F6">
        <w:t xml:space="preserve">require </w:t>
      </w:r>
      <w:r w:rsidR="00412634">
        <w:t xml:space="preserve">less detail </w:t>
      </w:r>
      <w:r w:rsidR="00DB4405">
        <w:t>within the template</w:t>
      </w:r>
      <w:r w:rsidR="00412634">
        <w:t xml:space="preserve">. </w:t>
      </w:r>
      <w:r w:rsidR="009914AA">
        <w:t xml:space="preserve">Completed forms should be stored in a database to facilitate automated </w:t>
      </w:r>
      <w:r w:rsidR="00412634">
        <w:t xml:space="preserve">workflow during a project. For example, </w:t>
      </w:r>
      <w:r w:rsidR="00DB4405">
        <w:t xml:space="preserve">completed </w:t>
      </w:r>
      <w:r w:rsidR="00412634">
        <w:t xml:space="preserve">forms should automatically trigger notification to </w:t>
      </w:r>
      <w:r w:rsidR="00DB4405">
        <w:t xml:space="preserve">an individual or </w:t>
      </w:r>
      <w:r w:rsidR="00412634">
        <w:t xml:space="preserve">an </w:t>
      </w:r>
      <w:r w:rsidR="00615FB9" w:rsidRPr="00615FB9">
        <w:rPr>
          <w:b/>
        </w:rPr>
        <w:t>E</w:t>
      </w:r>
      <w:r w:rsidR="00615FB9">
        <w:rPr>
          <w:b/>
        </w:rPr>
        <w:t>valuation P</w:t>
      </w:r>
      <w:r w:rsidR="00412634" w:rsidRPr="00615FB9">
        <w:rPr>
          <w:b/>
        </w:rPr>
        <w:t>anel</w:t>
      </w:r>
      <w:r w:rsidR="00412634">
        <w:t>, while approved projects can be automatically advertised on the TDWG Web site.</w:t>
      </w:r>
      <w:r w:rsidR="001A657F">
        <w:t xml:space="preserve"> A template will help to ensure </w:t>
      </w:r>
      <w:r w:rsidR="005E27C7">
        <w:t xml:space="preserve">that </w:t>
      </w:r>
      <w:r w:rsidR="001A657F">
        <w:t xml:space="preserve">applications </w:t>
      </w:r>
      <w:r w:rsidR="00BE1ED0">
        <w:t xml:space="preserve">are </w:t>
      </w:r>
      <w:r w:rsidR="005E27C7">
        <w:t>concise; brief and functional</w:t>
      </w:r>
      <w:r w:rsidR="003744B6">
        <w:t>.</w:t>
      </w:r>
      <w:r w:rsidR="001A657F">
        <w:t xml:space="preserve"> </w:t>
      </w:r>
      <w:r w:rsidR="00BE1ED0">
        <w:t xml:space="preserve">A template will also enable an automatic or near automatic generation of </w:t>
      </w:r>
      <w:r w:rsidR="003744B6">
        <w:t xml:space="preserve">a </w:t>
      </w:r>
      <w:r w:rsidR="00BE1ED0" w:rsidRPr="001806F8">
        <w:rPr>
          <w:b/>
        </w:rPr>
        <w:t>Charter</w:t>
      </w:r>
      <w:r w:rsidR="00BE1ED0">
        <w:t xml:space="preserve"> </w:t>
      </w:r>
      <w:r w:rsidR="00AE505B">
        <w:t xml:space="preserve">(see C1) </w:t>
      </w:r>
      <w:r w:rsidR="00BE1ED0">
        <w:t xml:space="preserve">for a </w:t>
      </w:r>
      <w:r w:rsidR="009A1A05">
        <w:t>Task Group</w:t>
      </w:r>
      <w:r w:rsidR="00BE1ED0">
        <w:t xml:space="preserve">. </w:t>
      </w:r>
      <w:r w:rsidR="00BE1ED0">
        <w:br/>
      </w:r>
      <w:r w:rsidR="00BE1ED0">
        <w:br/>
      </w:r>
      <w:r w:rsidR="00B617A6">
        <w:t xml:space="preserve">It would be in the interest of a new </w:t>
      </w:r>
      <w:r w:rsidR="004640C4">
        <w:t>sub</w:t>
      </w:r>
      <w:r w:rsidR="00B617A6">
        <w:t xml:space="preserve">group to ensure that issues and views are widely canvassed inside and externally to TDWG before submitting a proposal for a new </w:t>
      </w:r>
      <w:r w:rsidR="00303530">
        <w:t>subgroup</w:t>
      </w:r>
      <w:r w:rsidR="00B617A6">
        <w:t xml:space="preserve">. </w:t>
      </w:r>
      <w:r w:rsidR="001A657F">
        <w:t>Key items in the template should include-</w:t>
      </w:r>
    </w:p>
    <w:p w14:paraId="1CA984ED" w14:textId="77777777" w:rsidR="001A657F" w:rsidRDefault="001A657F" w:rsidP="001A657F">
      <w:pPr>
        <w:numPr>
          <w:ilvl w:val="1"/>
          <w:numId w:val="19"/>
        </w:numPr>
      </w:pPr>
      <w:r>
        <w:t>Summary of project (</w:t>
      </w:r>
      <w:r w:rsidR="005F202E">
        <w:t xml:space="preserve">a </w:t>
      </w:r>
      <w:r>
        <w:t>public description)</w:t>
      </w:r>
    </w:p>
    <w:p w14:paraId="2E5D2F9F" w14:textId="77777777" w:rsidR="001A657F" w:rsidRDefault="001A657F" w:rsidP="001A657F">
      <w:pPr>
        <w:numPr>
          <w:ilvl w:val="1"/>
          <w:numId w:val="19"/>
        </w:numPr>
      </w:pPr>
      <w:r>
        <w:lastRenderedPageBreak/>
        <w:t>Project ‘champions’ (a core group of 5 should be required)</w:t>
      </w:r>
      <w:r w:rsidR="00030E64">
        <w:t xml:space="preserve"> and contact details</w:t>
      </w:r>
    </w:p>
    <w:p w14:paraId="47F8B117" w14:textId="77777777" w:rsidR="001A657F" w:rsidRDefault="001A657F" w:rsidP="001A657F">
      <w:pPr>
        <w:numPr>
          <w:ilvl w:val="1"/>
          <w:numId w:val="19"/>
        </w:numPr>
      </w:pPr>
      <w:r>
        <w:t xml:space="preserve">How the project fits within </w:t>
      </w:r>
      <w:r w:rsidR="005F202E">
        <w:t xml:space="preserve">the </w:t>
      </w:r>
      <w:r>
        <w:t>TDWG</w:t>
      </w:r>
      <w:r w:rsidR="005F202E">
        <w:t xml:space="preserve"> mandate</w:t>
      </w:r>
      <w:r w:rsidR="00D20D0B">
        <w:t xml:space="preserve"> (Scope)</w:t>
      </w:r>
    </w:p>
    <w:p w14:paraId="2AAEA064" w14:textId="77777777" w:rsidR="001A657F" w:rsidRDefault="007B7754" w:rsidP="001A657F">
      <w:pPr>
        <w:numPr>
          <w:ilvl w:val="1"/>
          <w:numId w:val="19"/>
        </w:numPr>
      </w:pPr>
      <w:r>
        <w:t>Anticipated strategy</w:t>
      </w:r>
    </w:p>
    <w:p w14:paraId="084BD86D" w14:textId="77777777" w:rsidR="001A657F" w:rsidRDefault="001A657F" w:rsidP="001A657F">
      <w:pPr>
        <w:numPr>
          <w:ilvl w:val="1"/>
          <w:numId w:val="19"/>
        </w:numPr>
      </w:pPr>
      <w:r>
        <w:t>Linkages to other TDWG projects</w:t>
      </w:r>
    </w:p>
    <w:p w14:paraId="60BA74A2" w14:textId="77777777" w:rsidR="001A657F" w:rsidRDefault="001A657F" w:rsidP="001A657F">
      <w:pPr>
        <w:numPr>
          <w:ilvl w:val="1"/>
          <w:numId w:val="19"/>
        </w:numPr>
      </w:pPr>
      <w:r>
        <w:t>Linkages to external standards (who, where)</w:t>
      </w:r>
    </w:p>
    <w:p w14:paraId="6C195D0A" w14:textId="77777777" w:rsidR="001A657F" w:rsidRDefault="0007187F" w:rsidP="001A657F">
      <w:pPr>
        <w:numPr>
          <w:ilvl w:val="1"/>
          <w:numId w:val="19"/>
        </w:numPr>
      </w:pPr>
      <w:r>
        <w:t>Milestones</w:t>
      </w:r>
    </w:p>
    <w:p w14:paraId="241341F2" w14:textId="77777777" w:rsidR="00F34104" w:rsidRDefault="00F34104" w:rsidP="001A657F">
      <w:pPr>
        <w:numPr>
          <w:ilvl w:val="1"/>
          <w:numId w:val="19"/>
        </w:numPr>
      </w:pPr>
      <w:r>
        <w:t>Testing</w:t>
      </w:r>
      <w:r w:rsidR="00762A14">
        <w:t>/validation</w:t>
      </w:r>
      <w:r w:rsidR="00AD325B">
        <w:t xml:space="preserve"> strategy</w:t>
      </w:r>
    </w:p>
    <w:p w14:paraId="11D59764" w14:textId="77777777" w:rsidR="00234845" w:rsidRDefault="00234845" w:rsidP="001A657F">
      <w:pPr>
        <w:numPr>
          <w:ilvl w:val="1"/>
          <w:numId w:val="19"/>
        </w:numPr>
      </w:pPr>
      <w:r>
        <w:t>Documentation requirements</w:t>
      </w:r>
    </w:p>
    <w:p w14:paraId="4A1D8CD4" w14:textId="77777777" w:rsidR="0007187F" w:rsidRDefault="00696C5A" w:rsidP="001A657F">
      <w:pPr>
        <w:numPr>
          <w:ilvl w:val="1"/>
          <w:numId w:val="19"/>
        </w:numPr>
      </w:pPr>
      <w:r>
        <w:t xml:space="preserve">Anticipated </w:t>
      </w:r>
      <w:r w:rsidR="001A657F">
        <w:t xml:space="preserve">outputs </w:t>
      </w:r>
    </w:p>
    <w:p w14:paraId="6AB06F04" w14:textId="77777777" w:rsidR="001A657F" w:rsidRDefault="0007187F" w:rsidP="001A657F">
      <w:pPr>
        <w:numPr>
          <w:ilvl w:val="1"/>
          <w:numId w:val="19"/>
        </w:numPr>
      </w:pPr>
      <w:r>
        <w:t xml:space="preserve">Anticipated </w:t>
      </w:r>
      <w:r w:rsidR="001A657F">
        <w:t>outcomes</w:t>
      </w:r>
    </w:p>
    <w:p w14:paraId="0D9FC9AB" w14:textId="77777777" w:rsidR="0049381F" w:rsidRDefault="0049381F" w:rsidP="0049381F">
      <w:pPr>
        <w:numPr>
          <w:ilvl w:val="0"/>
          <w:numId w:val="19"/>
        </w:numPr>
      </w:pPr>
      <w:r>
        <w:t xml:space="preserve">A Task Group requires a </w:t>
      </w:r>
      <w:r w:rsidRPr="0049381F">
        <w:rPr>
          <w:b/>
        </w:rPr>
        <w:t>sunset clause</w:t>
      </w:r>
      <w:r>
        <w:t>. At that time, a work group should if required, automatically revert to a Discussion Group that would provide a support environment for the groups outcomes and outputs.</w:t>
      </w:r>
    </w:p>
    <w:p w14:paraId="46085719" w14:textId="77777777" w:rsidR="00F5225F" w:rsidRDefault="00F5225F" w:rsidP="00EB2DDA">
      <w:pPr>
        <w:numPr>
          <w:ilvl w:val="0"/>
          <w:numId w:val="19"/>
        </w:numPr>
      </w:pPr>
      <w:r>
        <w:t xml:space="preserve">Standard </w:t>
      </w:r>
      <w:r w:rsidRPr="0077366D">
        <w:rPr>
          <w:b/>
        </w:rPr>
        <w:t xml:space="preserve">evaluation criteria </w:t>
      </w:r>
      <w:r w:rsidR="009B50CF" w:rsidRPr="0077366D">
        <w:rPr>
          <w:b/>
        </w:rPr>
        <w:t>(a checklist)</w:t>
      </w:r>
      <w:r w:rsidR="009B50CF">
        <w:t xml:space="preserve"> </w:t>
      </w:r>
      <w:r>
        <w:t xml:space="preserve">should be developed </w:t>
      </w:r>
      <w:r w:rsidR="0077366D">
        <w:t xml:space="preserve">for the Executive </w:t>
      </w:r>
      <w:r>
        <w:t>to evaluate application</w:t>
      </w:r>
      <w:r w:rsidR="009B50CF">
        <w:t>s for new TDWG initiatives</w:t>
      </w:r>
      <w:r>
        <w:t>.</w:t>
      </w:r>
      <w:r w:rsidR="00414783">
        <w:t xml:space="preserve"> The</w:t>
      </w:r>
      <w:r w:rsidR="0077366D">
        <w:t xml:space="preserve"> checklist </w:t>
      </w:r>
      <w:r w:rsidR="00414783">
        <w:t xml:space="preserve">could be developed by the Executive or by a special committee established for the purpose and made up of one or more Executive members and or </w:t>
      </w:r>
      <w:r w:rsidR="00303530">
        <w:t>subgroup</w:t>
      </w:r>
      <w:r w:rsidR="00414783">
        <w:t xml:space="preserve"> chairs</w:t>
      </w:r>
      <w:r w:rsidR="00F559E1">
        <w:t xml:space="preserve"> (see C3)</w:t>
      </w:r>
      <w:r w:rsidR="00414783">
        <w:t>. These criteria should be public</w:t>
      </w:r>
      <w:r w:rsidR="004037DB">
        <w:t xml:space="preserve">ly available </w:t>
      </w:r>
      <w:r w:rsidR="00414783">
        <w:t xml:space="preserve">on the TDWG Web site. </w:t>
      </w:r>
    </w:p>
    <w:p w14:paraId="490239D7" w14:textId="77777777" w:rsidR="00F5225F" w:rsidRDefault="00414783" w:rsidP="00EB2DDA">
      <w:pPr>
        <w:numPr>
          <w:ilvl w:val="0"/>
          <w:numId w:val="19"/>
        </w:numPr>
      </w:pPr>
      <w:r>
        <w:t>A</w:t>
      </w:r>
      <w:r w:rsidR="0018583F">
        <w:t xml:space="preserve">n </w:t>
      </w:r>
      <w:r w:rsidR="0018583F" w:rsidRPr="0077366D">
        <w:rPr>
          <w:b/>
        </w:rPr>
        <w:t>Evaluation P</w:t>
      </w:r>
      <w:r w:rsidR="00F5225F" w:rsidRPr="0077366D">
        <w:rPr>
          <w:b/>
        </w:rPr>
        <w:t>anel</w:t>
      </w:r>
      <w:r w:rsidR="00F5225F">
        <w:t xml:space="preserve"> should </w:t>
      </w:r>
      <w:r>
        <w:t xml:space="preserve">be established to evaluate proposals for new TDWG initiatives. </w:t>
      </w:r>
      <w:r w:rsidR="00723067">
        <w:t>This Panel should only include Executive members as ex officio as it will be the Executive that votes on an application as a response to a reco</w:t>
      </w:r>
      <w:r w:rsidR="0077366D">
        <w:t>mmendation from the Evaluation P</w:t>
      </w:r>
      <w:r w:rsidR="00723067">
        <w:t xml:space="preserve">anel. </w:t>
      </w:r>
      <w:r w:rsidR="0018583F">
        <w:t>The extent of evaluation should depend on the nature of the proposal</w:t>
      </w:r>
      <w:r w:rsidR="00723067">
        <w:t xml:space="preserve">. A </w:t>
      </w:r>
      <w:r w:rsidR="0018583F">
        <w:t xml:space="preserve">Discussion Group should only require minimal evaluation </w:t>
      </w:r>
      <w:r w:rsidR="00723067">
        <w:t xml:space="preserve">while </w:t>
      </w:r>
      <w:r w:rsidR="00146CEB">
        <w:t xml:space="preserve">a proposed </w:t>
      </w:r>
      <w:r w:rsidR="008328DA">
        <w:t xml:space="preserve">Task </w:t>
      </w:r>
      <w:r w:rsidR="00146CEB">
        <w:t>G</w:t>
      </w:r>
      <w:r w:rsidR="000E7999">
        <w:t xml:space="preserve">roup </w:t>
      </w:r>
      <w:r w:rsidR="00BD70D1">
        <w:t xml:space="preserve">should </w:t>
      </w:r>
      <w:r w:rsidR="000E7999">
        <w:t xml:space="preserve">require </w:t>
      </w:r>
      <w:r w:rsidR="000E7999" w:rsidRPr="00E84A99">
        <w:rPr>
          <w:b/>
        </w:rPr>
        <w:t>peer review</w:t>
      </w:r>
      <w:r w:rsidR="000E7999">
        <w:t xml:space="preserve"> by </w:t>
      </w:r>
      <w:r w:rsidR="00723067">
        <w:t xml:space="preserve">the </w:t>
      </w:r>
      <w:r w:rsidR="000E7999">
        <w:t>Evaluation Panel</w:t>
      </w:r>
      <w:r w:rsidR="00723067">
        <w:t>.</w:t>
      </w:r>
    </w:p>
    <w:p w14:paraId="7571CC30" w14:textId="77777777" w:rsidR="008467BB" w:rsidRDefault="008467BB" w:rsidP="00EB2DDA">
      <w:pPr>
        <w:numPr>
          <w:ilvl w:val="0"/>
          <w:numId w:val="19"/>
        </w:numPr>
      </w:pPr>
      <w:r>
        <w:t xml:space="preserve">I recommend that the </w:t>
      </w:r>
      <w:r w:rsidRPr="008D10A8">
        <w:rPr>
          <w:b/>
        </w:rPr>
        <w:t>Advisory Panel</w:t>
      </w:r>
      <w:r>
        <w:t xml:space="preserve"> is the </w:t>
      </w:r>
      <w:r w:rsidRPr="008467BB">
        <w:rPr>
          <w:b/>
        </w:rPr>
        <w:t>Technical Architecture Group (TAG)</w:t>
      </w:r>
      <w:r>
        <w:rPr>
          <w:b/>
        </w:rPr>
        <w:t xml:space="preserve">. </w:t>
      </w:r>
      <w:r w:rsidRPr="008467BB">
        <w:t>S</w:t>
      </w:r>
      <w:r>
        <w:t>ee recommendation D1.</w:t>
      </w:r>
    </w:p>
    <w:p w14:paraId="29B33A89" w14:textId="77777777" w:rsidR="00BE1ED0" w:rsidRDefault="00774638" w:rsidP="00EB2DDA">
      <w:pPr>
        <w:numPr>
          <w:ilvl w:val="0"/>
          <w:numId w:val="19"/>
        </w:numPr>
      </w:pPr>
      <w:r>
        <w:t>A</w:t>
      </w:r>
      <w:r w:rsidR="00BE1ED0">
        <w:t xml:space="preserve"> new member of the Executive </w:t>
      </w:r>
      <w:r w:rsidR="00095D28">
        <w:t>(</w:t>
      </w:r>
      <w:r w:rsidR="00095D28" w:rsidRPr="00095D28">
        <w:rPr>
          <w:b/>
        </w:rPr>
        <w:t>Exec-EP</w:t>
      </w:r>
      <w:r w:rsidR="00095D28">
        <w:t xml:space="preserve">) </w:t>
      </w:r>
      <w:r w:rsidR="00BE1ED0">
        <w:t xml:space="preserve">be appointed </w:t>
      </w:r>
      <w:r>
        <w:t xml:space="preserve">as a point of contact with </w:t>
      </w:r>
      <w:r w:rsidR="00E84A99">
        <w:t>an Evaluation Panel</w:t>
      </w:r>
      <w:r w:rsidR="00BE1ED0">
        <w:t>.</w:t>
      </w:r>
      <w:r w:rsidR="0035142B">
        <w:t xml:space="preserve"> </w:t>
      </w:r>
    </w:p>
    <w:p w14:paraId="5BD95F3A" w14:textId="77777777" w:rsidR="006B720C" w:rsidRDefault="008340C3" w:rsidP="00EB2DDA">
      <w:pPr>
        <w:numPr>
          <w:ilvl w:val="0"/>
          <w:numId w:val="19"/>
        </w:numPr>
      </w:pPr>
      <w:r>
        <w:t>Adopt the recommendations for the creation of a supportive IT environment generated through t</w:t>
      </w:r>
      <w:r w:rsidR="0049381F">
        <w:t xml:space="preserve">he TDWG Infrastructure Project! </w:t>
      </w:r>
      <w:r w:rsidR="009F3495">
        <w:t>The approval of</w:t>
      </w:r>
      <w:r w:rsidR="006B720C">
        <w:t xml:space="preserve"> a proposal for </w:t>
      </w:r>
      <w:r w:rsidR="0049381F">
        <w:t>Task Group</w:t>
      </w:r>
      <w:r w:rsidR="009F3495">
        <w:t xml:space="preserve"> should </w:t>
      </w:r>
      <w:r w:rsidR="001420C4">
        <w:t xml:space="preserve">trigger the </w:t>
      </w:r>
      <w:r w:rsidR="009F3495">
        <w:t>generat</w:t>
      </w:r>
      <w:r w:rsidR="001420C4">
        <w:t>ion of</w:t>
      </w:r>
      <w:r w:rsidR="009F3495">
        <w:t xml:space="preserve"> a ‘</w:t>
      </w:r>
      <w:r w:rsidR="009F3495" w:rsidRPr="00E96F3E">
        <w:rPr>
          <w:b/>
        </w:rPr>
        <w:t>workspace environment</w:t>
      </w:r>
      <w:r w:rsidR="009F3495">
        <w:t xml:space="preserve">’ for the group in conjunction with the TDWG Web site. New groups should be encouraged to use the standard environment as </w:t>
      </w:r>
      <w:r w:rsidR="00003062">
        <w:t xml:space="preserve">all TDWG groups </w:t>
      </w:r>
      <w:r w:rsidR="00202D0B">
        <w:t xml:space="preserve">require </w:t>
      </w:r>
      <w:r w:rsidR="00003062">
        <w:t>the same ‘look and feel’</w:t>
      </w:r>
      <w:r w:rsidR="0083221F">
        <w:t>.</w:t>
      </w:r>
      <w:r w:rsidR="00003062">
        <w:t xml:space="preserve"> This would mean that TDWG members </w:t>
      </w:r>
      <w:r w:rsidR="0083221F">
        <w:t xml:space="preserve">operating </w:t>
      </w:r>
      <w:r w:rsidR="006B720C">
        <w:t xml:space="preserve">between </w:t>
      </w:r>
      <w:r w:rsidR="0083221F">
        <w:t xml:space="preserve">more than one </w:t>
      </w:r>
      <w:r w:rsidR="00AB1977">
        <w:t>sub</w:t>
      </w:r>
      <w:r w:rsidR="006B720C">
        <w:t>group</w:t>
      </w:r>
      <w:r w:rsidR="00BB0BD9">
        <w:t>,</w:t>
      </w:r>
      <w:r w:rsidR="0083221F">
        <w:t xml:space="preserve"> or moving between </w:t>
      </w:r>
      <w:r w:rsidR="00D83638">
        <w:t>sub</w:t>
      </w:r>
      <w:r w:rsidR="0083221F">
        <w:t xml:space="preserve">groups over time would have the same working environment. </w:t>
      </w:r>
      <w:r w:rsidR="005F0856">
        <w:t>The public would also have consistent access to TDWG activities.</w:t>
      </w:r>
      <w:r w:rsidR="00DB28DD">
        <w:t xml:space="preserve"> </w:t>
      </w:r>
      <w:r w:rsidR="00DB28DD">
        <w:br/>
      </w:r>
      <w:r w:rsidR="00DB28DD">
        <w:br/>
      </w:r>
      <w:r w:rsidR="00A3248D">
        <w:t xml:space="preserve">The environment should conform to useful standards like </w:t>
      </w:r>
      <w:r w:rsidR="00A3248D" w:rsidRPr="00A3248D">
        <w:t xml:space="preserve">W3C CSS, HTML, accessibility </w:t>
      </w:r>
      <w:r w:rsidR="00A3248D">
        <w:t>etc.</w:t>
      </w:r>
      <w:r w:rsidR="00A3248D">
        <w:rPr>
          <w:sz w:val="20"/>
        </w:rPr>
        <w:t xml:space="preserve"> </w:t>
      </w:r>
      <w:r w:rsidR="006B720C">
        <w:t xml:space="preserve">A work environment should include, but not be limited to aspects </w:t>
      </w:r>
      <w:r w:rsidR="006B720C">
        <w:lastRenderedPageBreak/>
        <w:t>such as-</w:t>
      </w:r>
      <w:r w:rsidR="00A3248D">
        <w:br/>
      </w:r>
    </w:p>
    <w:p w14:paraId="3D271C85" w14:textId="77777777" w:rsidR="006B720C" w:rsidRDefault="006B720C" w:rsidP="006B720C">
      <w:pPr>
        <w:numPr>
          <w:ilvl w:val="1"/>
          <w:numId w:val="19"/>
        </w:numPr>
      </w:pPr>
      <w:r>
        <w:t>A public summary of their Charter</w:t>
      </w:r>
    </w:p>
    <w:p w14:paraId="207DFC1A" w14:textId="77777777" w:rsidR="005C5500" w:rsidRDefault="006B720C" w:rsidP="005C5500">
      <w:pPr>
        <w:numPr>
          <w:ilvl w:val="1"/>
          <w:numId w:val="19"/>
        </w:numPr>
      </w:pPr>
      <w:r>
        <w:t>A Wiki or blog</w:t>
      </w:r>
    </w:p>
    <w:p w14:paraId="1C3D267F" w14:textId="77777777" w:rsidR="006B720C" w:rsidRDefault="006B720C" w:rsidP="006B720C">
      <w:pPr>
        <w:numPr>
          <w:ilvl w:val="1"/>
          <w:numId w:val="19"/>
        </w:numPr>
      </w:pPr>
      <w:r>
        <w:t>Latest news</w:t>
      </w:r>
    </w:p>
    <w:p w14:paraId="70FAA0B0" w14:textId="77777777" w:rsidR="00C478ED" w:rsidRDefault="00C478ED" w:rsidP="00C478ED">
      <w:pPr>
        <w:numPr>
          <w:ilvl w:val="1"/>
          <w:numId w:val="19"/>
        </w:numPr>
      </w:pPr>
      <w:r>
        <w:t>A calendar of events past and future</w:t>
      </w:r>
    </w:p>
    <w:p w14:paraId="59F375E0" w14:textId="77777777" w:rsidR="006B720C" w:rsidRDefault="006B720C" w:rsidP="006B720C">
      <w:pPr>
        <w:numPr>
          <w:ilvl w:val="1"/>
          <w:numId w:val="19"/>
        </w:numPr>
      </w:pPr>
      <w:r>
        <w:t>A mailing list</w:t>
      </w:r>
    </w:p>
    <w:p w14:paraId="6BFDE877" w14:textId="77777777" w:rsidR="00690A06" w:rsidRDefault="00690A06" w:rsidP="006B720C">
      <w:pPr>
        <w:numPr>
          <w:ilvl w:val="1"/>
          <w:numId w:val="19"/>
        </w:numPr>
      </w:pPr>
      <w:r>
        <w:t>Documentation including public, management, technical and tutorial.</w:t>
      </w:r>
    </w:p>
    <w:p w14:paraId="06CC121F" w14:textId="77777777" w:rsidR="006B720C" w:rsidRDefault="006B720C" w:rsidP="006B720C">
      <w:pPr>
        <w:numPr>
          <w:ilvl w:val="1"/>
          <w:numId w:val="19"/>
        </w:numPr>
      </w:pPr>
      <w:r>
        <w:t>Documentation tools and formats</w:t>
      </w:r>
    </w:p>
    <w:p w14:paraId="5DDFF086" w14:textId="77777777" w:rsidR="00756E64" w:rsidRDefault="00756E64" w:rsidP="006B720C">
      <w:pPr>
        <w:numPr>
          <w:ilvl w:val="1"/>
          <w:numId w:val="19"/>
        </w:numPr>
      </w:pPr>
      <w:r>
        <w:t>A glossary of terms</w:t>
      </w:r>
    </w:p>
    <w:p w14:paraId="731B2689" w14:textId="77777777" w:rsidR="002F6961" w:rsidRDefault="002F6961" w:rsidP="006B720C">
      <w:pPr>
        <w:numPr>
          <w:ilvl w:val="1"/>
          <w:numId w:val="19"/>
        </w:numPr>
      </w:pPr>
      <w:r>
        <w:t>Links to TDWG and external projects</w:t>
      </w:r>
    </w:p>
    <w:p w14:paraId="73A23826" w14:textId="77777777" w:rsidR="006B720C" w:rsidRDefault="006B720C" w:rsidP="006B720C">
      <w:pPr>
        <w:numPr>
          <w:ilvl w:val="1"/>
          <w:numId w:val="19"/>
        </w:numPr>
      </w:pPr>
      <w:r>
        <w:t>Current work status</w:t>
      </w:r>
    </w:p>
    <w:p w14:paraId="3150F6AD" w14:textId="77777777" w:rsidR="006B720C" w:rsidRDefault="006B720C" w:rsidP="006B720C">
      <w:pPr>
        <w:numPr>
          <w:ilvl w:val="1"/>
          <w:numId w:val="19"/>
        </w:numPr>
      </w:pPr>
      <w:r>
        <w:t>Outputs</w:t>
      </w:r>
      <w:r w:rsidR="005C5500">
        <w:t xml:space="preserve"> (standards and/or protocols) </w:t>
      </w:r>
      <w:r>
        <w:t xml:space="preserve">in </w:t>
      </w:r>
      <w:r w:rsidR="005C5500">
        <w:t xml:space="preserve">a </w:t>
      </w:r>
      <w:r>
        <w:t>standard format. This may be comprised of documents and/or code.</w:t>
      </w:r>
    </w:p>
    <w:p w14:paraId="0A1421D8" w14:textId="77777777" w:rsidR="006B720C" w:rsidRDefault="006B720C" w:rsidP="006B720C">
      <w:pPr>
        <w:numPr>
          <w:ilvl w:val="1"/>
          <w:numId w:val="19"/>
        </w:numPr>
      </w:pPr>
      <w:r>
        <w:t>Test regime</w:t>
      </w:r>
      <w:r w:rsidR="00B61E50">
        <w:t>, harness or protocols</w:t>
      </w:r>
    </w:p>
    <w:p w14:paraId="41630A86" w14:textId="77777777" w:rsidR="009F3495" w:rsidRDefault="006B720C" w:rsidP="00E858B6">
      <w:pPr>
        <w:numPr>
          <w:ilvl w:val="1"/>
          <w:numId w:val="19"/>
        </w:numPr>
      </w:pPr>
      <w:r>
        <w:t>Demonstration</w:t>
      </w:r>
      <w:r w:rsidR="008615AB">
        <w:t xml:space="preserve">, </w:t>
      </w:r>
      <w:r>
        <w:t xml:space="preserve">pilot </w:t>
      </w:r>
      <w:r w:rsidR="008615AB">
        <w:t xml:space="preserve">or implementation </w:t>
      </w:r>
      <w:r>
        <w:t>sites</w:t>
      </w:r>
    </w:p>
    <w:p w14:paraId="0F979338" w14:textId="77777777" w:rsidR="007C4199" w:rsidRDefault="007C4199" w:rsidP="00083E12">
      <w:pPr>
        <w:numPr>
          <w:ilvl w:val="0"/>
          <w:numId w:val="19"/>
        </w:numPr>
      </w:pPr>
      <w:r>
        <w:t xml:space="preserve">TDWG should </w:t>
      </w:r>
      <w:r w:rsidRPr="00DB28DD">
        <w:rPr>
          <w:b/>
        </w:rPr>
        <w:t>formally constitute Task and Discussion Groups</w:t>
      </w:r>
      <w:r>
        <w:t xml:space="preserve">. </w:t>
      </w:r>
      <w:r w:rsidR="00A15E5D">
        <w:t xml:space="preserve">Discussions </w:t>
      </w:r>
      <w:r>
        <w:t>at TDWG 2005 and</w:t>
      </w:r>
      <w:r w:rsidR="00A15E5D">
        <w:t xml:space="preserve"> subsequently highlighted the ambiguous status of TDWG </w:t>
      </w:r>
      <w:r w:rsidR="00303530">
        <w:t>subgroup</w:t>
      </w:r>
      <w:r w:rsidR="00A15E5D">
        <w:t xml:space="preserve">s. </w:t>
      </w:r>
      <w:r w:rsidR="005C6A2A">
        <w:t xml:space="preserve">There is an obvious need for a two-tiered approach to the establishment of </w:t>
      </w:r>
      <w:r w:rsidR="00303530">
        <w:t>subgroup</w:t>
      </w:r>
      <w:r w:rsidR="005C6A2A">
        <w:t>s to address TDWG initiatives.</w:t>
      </w:r>
      <w:r w:rsidR="00511F09">
        <w:t xml:space="preserve"> TDWG requires an </w:t>
      </w:r>
      <w:r w:rsidR="00E45A9B">
        <w:t xml:space="preserve">‘informal </w:t>
      </w:r>
      <w:r w:rsidR="00303530">
        <w:t>subgroup</w:t>
      </w:r>
      <w:r w:rsidR="00E45A9B">
        <w:t xml:space="preserve">’ </w:t>
      </w:r>
      <w:r w:rsidR="00511F09">
        <w:t xml:space="preserve">to initiate discussions on member interests. </w:t>
      </w:r>
      <w:r w:rsidR="00606FFD">
        <w:t xml:space="preserve">In some cases, such Discussion Groups will not </w:t>
      </w:r>
      <w:r w:rsidR="00AA767E">
        <w:t xml:space="preserve">generate formal outputs, they maybe educational. </w:t>
      </w:r>
      <w:r w:rsidR="002D2126">
        <w:t>In other cases, such groups may generate an applicat</w:t>
      </w:r>
      <w:r w:rsidR="00E15038">
        <w:t>ion for the formation of a Task G</w:t>
      </w:r>
      <w:r w:rsidR="002D2126">
        <w:t xml:space="preserve">roup to generate a specific output and /or outcome. </w:t>
      </w:r>
      <w:r w:rsidR="002A02B4">
        <w:t>Once the outc</w:t>
      </w:r>
      <w:r w:rsidR="004F5EE5">
        <w:t xml:space="preserve">omes have been achieved, a </w:t>
      </w:r>
      <w:r w:rsidR="002A02B4">
        <w:t>Task Group must revert to a Discussion Group to support their products.</w:t>
      </w:r>
      <w:r w:rsidR="00FD60D3">
        <w:t xml:space="preserve"> In both cases, the </w:t>
      </w:r>
      <w:r w:rsidR="00303530">
        <w:t>subgroup</w:t>
      </w:r>
      <w:r w:rsidR="00FD60D3">
        <w:t xml:space="preserve">s require a formal application. </w:t>
      </w:r>
      <w:r w:rsidR="002C554E">
        <w:t xml:space="preserve">It is important that the same </w:t>
      </w:r>
      <w:r w:rsidR="00534EF0">
        <w:t xml:space="preserve">application </w:t>
      </w:r>
      <w:r w:rsidR="002C554E">
        <w:t xml:space="preserve">form should be used so that suitable documentation </w:t>
      </w:r>
      <w:r w:rsidR="001D1B57">
        <w:t xml:space="preserve">of a </w:t>
      </w:r>
      <w:r w:rsidR="00303530">
        <w:t>subgroup</w:t>
      </w:r>
      <w:r w:rsidR="001D1B57">
        <w:t xml:space="preserve">’s existence </w:t>
      </w:r>
      <w:r w:rsidR="002C554E">
        <w:t>c</w:t>
      </w:r>
      <w:r w:rsidR="001D1B57">
        <w:t>an</w:t>
      </w:r>
      <w:r w:rsidR="002C554E">
        <w:t xml:space="preserve"> </w:t>
      </w:r>
      <w:r w:rsidR="001C7D63">
        <w:t xml:space="preserve">be </w:t>
      </w:r>
      <w:r w:rsidR="00EC6C1A">
        <w:t xml:space="preserve">semi-automatically </w:t>
      </w:r>
      <w:r w:rsidR="00FE0380">
        <w:t>produced and consistency can be achieved.</w:t>
      </w:r>
    </w:p>
    <w:p w14:paraId="44F78B55" w14:textId="77777777" w:rsidR="00BF1C47" w:rsidRPr="00BF1C47" w:rsidRDefault="00C21196" w:rsidP="00BF1C47">
      <w:pPr>
        <w:pStyle w:val="Heading2"/>
      </w:pPr>
      <w:r>
        <w:br w:type="page"/>
      </w:r>
      <w:bookmarkStart w:id="13" w:name="_Toc124592127"/>
      <w:r w:rsidR="00AF1487">
        <w:lastRenderedPageBreak/>
        <w:t xml:space="preserve">D: </w:t>
      </w:r>
      <w:r w:rsidR="00BF1C47">
        <w:t>Standards and Protocols</w:t>
      </w:r>
      <w:bookmarkEnd w:id="13"/>
    </w:p>
    <w:p w14:paraId="67A91A5D" w14:textId="77777777" w:rsidR="00BF1C47" w:rsidRDefault="00BF1C47" w:rsidP="00BF1C47">
      <w:pPr>
        <w:pStyle w:val="Heading3"/>
      </w:pPr>
      <w:bookmarkStart w:id="14" w:name="_Toc124592128"/>
      <w:r>
        <w:t>Observations</w:t>
      </w:r>
      <w:bookmarkEnd w:id="14"/>
    </w:p>
    <w:p w14:paraId="5D653D7F" w14:textId="77777777" w:rsidR="00BF1C47" w:rsidRDefault="00BF1C47" w:rsidP="00BE72DE">
      <w:pPr>
        <w:numPr>
          <w:ilvl w:val="0"/>
          <w:numId w:val="20"/>
        </w:numPr>
      </w:pPr>
      <w:r>
        <w:t xml:space="preserve">No </w:t>
      </w:r>
      <w:r w:rsidRPr="001F511D">
        <w:rPr>
          <w:b/>
        </w:rPr>
        <w:t xml:space="preserve">quality </w:t>
      </w:r>
      <w:r w:rsidR="00A80412" w:rsidRPr="001F511D">
        <w:rPr>
          <w:b/>
        </w:rPr>
        <w:t>control</w:t>
      </w:r>
      <w:r w:rsidR="00A80412">
        <w:t xml:space="preserve"> </w:t>
      </w:r>
      <w:r>
        <w:t xml:space="preserve">of </w:t>
      </w:r>
      <w:r w:rsidR="00747A92">
        <w:t>TDWG output</w:t>
      </w:r>
      <w:r w:rsidR="00421301">
        <w:t>.</w:t>
      </w:r>
      <w:r w:rsidR="00AE0DC5">
        <w:t xml:space="preserve"> </w:t>
      </w:r>
    </w:p>
    <w:p w14:paraId="0FF51791" w14:textId="77777777" w:rsidR="00AE0DC5" w:rsidRDefault="00AE0DC5" w:rsidP="00AE0DC5">
      <w:pPr>
        <w:numPr>
          <w:ilvl w:val="0"/>
          <w:numId w:val="20"/>
        </w:numPr>
      </w:pPr>
      <w:r>
        <w:t>No requirement for harmonization of TDWG initiatives. There is a strong need fo</w:t>
      </w:r>
      <w:r w:rsidR="001F511D">
        <w:t xml:space="preserve">r some type of coordination or </w:t>
      </w:r>
      <w:r w:rsidR="001F511D" w:rsidRPr="001F511D">
        <w:rPr>
          <w:b/>
        </w:rPr>
        <w:t>Technical Architecture G</w:t>
      </w:r>
      <w:r w:rsidRPr="001F511D">
        <w:rPr>
          <w:b/>
        </w:rPr>
        <w:t xml:space="preserve">roup </w:t>
      </w:r>
      <w:r w:rsidR="001F511D" w:rsidRPr="001F511D">
        <w:rPr>
          <w:b/>
        </w:rPr>
        <w:t>(TAG)</w:t>
      </w:r>
      <w:r w:rsidR="001F511D">
        <w:t xml:space="preserve"> </w:t>
      </w:r>
      <w:r>
        <w:t>that assists the Executive in</w:t>
      </w:r>
      <w:r w:rsidR="007E304B">
        <w:t xml:space="preserve"> ensuring consistency and comple</w:t>
      </w:r>
      <w:r>
        <w:t xml:space="preserve">mentarity of TDWG initiatives. </w:t>
      </w:r>
    </w:p>
    <w:p w14:paraId="4895D4C4" w14:textId="77777777" w:rsidR="00BF1C47" w:rsidRDefault="00BF1C47" w:rsidP="00BF1C47">
      <w:pPr>
        <w:numPr>
          <w:ilvl w:val="0"/>
          <w:numId w:val="20"/>
        </w:numPr>
      </w:pPr>
      <w:r>
        <w:t xml:space="preserve">No formal </w:t>
      </w:r>
      <w:r w:rsidRPr="001F511D">
        <w:rPr>
          <w:b/>
        </w:rPr>
        <w:t xml:space="preserve">documentation </w:t>
      </w:r>
      <w:r w:rsidR="001F511D">
        <w:rPr>
          <w:b/>
        </w:rPr>
        <w:t>folio</w:t>
      </w:r>
      <w:r>
        <w:t xml:space="preserve"> associated with the development of standards</w:t>
      </w:r>
      <w:r w:rsidR="00421301">
        <w:t xml:space="preserve"> and protocols</w:t>
      </w:r>
      <w:r w:rsidR="001F511D">
        <w:t xml:space="preserve">. There is an absence of </w:t>
      </w:r>
      <w:r>
        <w:t>documentation aimed at ‘managers’ of implementers</w:t>
      </w:r>
      <w:r w:rsidR="0001658A">
        <w:t xml:space="preserve"> and </w:t>
      </w:r>
      <w:r w:rsidR="00303530">
        <w:t>organization</w:t>
      </w:r>
      <w:r w:rsidR="0001658A">
        <w:t>al heads.</w:t>
      </w:r>
    </w:p>
    <w:p w14:paraId="37103ACC" w14:textId="77777777" w:rsidR="00BF1C47" w:rsidRDefault="00804604" w:rsidP="00BF1C47">
      <w:pPr>
        <w:numPr>
          <w:ilvl w:val="0"/>
          <w:numId w:val="20"/>
        </w:numPr>
      </w:pPr>
      <w:r>
        <w:t xml:space="preserve">No </w:t>
      </w:r>
      <w:r w:rsidR="000A2028">
        <w:t xml:space="preserve">easy </w:t>
      </w:r>
      <w:r>
        <w:t xml:space="preserve">way to </w:t>
      </w:r>
      <w:r w:rsidR="000A2028">
        <w:t xml:space="preserve">locate </w:t>
      </w:r>
      <w:r>
        <w:t xml:space="preserve">TDWG </w:t>
      </w:r>
      <w:r w:rsidR="00BF1C47">
        <w:t>o</w:t>
      </w:r>
      <w:r>
        <w:t>utput.</w:t>
      </w:r>
      <w:r w:rsidR="0008352D">
        <w:t xml:space="preserve"> No formal links to implementations from the TDWG site.</w:t>
      </w:r>
      <w:r w:rsidR="00747F40">
        <w:t xml:space="preserve"> See Recommendation </w:t>
      </w:r>
      <w:r w:rsidR="00294DD7">
        <w:t>C7.</w:t>
      </w:r>
    </w:p>
    <w:p w14:paraId="04AC648D" w14:textId="77777777" w:rsidR="00D95423" w:rsidRDefault="00BF1C47" w:rsidP="00BF1C47">
      <w:pPr>
        <w:numPr>
          <w:ilvl w:val="0"/>
          <w:numId w:val="20"/>
        </w:numPr>
      </w:pPr>
      <w:r>
        <w:t xml:space="preserve">No formal requirement for testing or validating </w:t>
      </w:r>
      <w:r w:rsidR="00D95423">
        <w:t>TDWG products</w:t>
      </w:r>
      <w:r>
        <w:t>, e</w:t>
      </w:r>
      <w:r w:rsidR="00446990">
        <w:t>.</w:t>
      </w:r>
      <w:r>
        <w:t>g</w:t>
      </w:r>
      <w:r w:rsidR="00446990">
        <w:t>.,</w:t>
      </w:r>
      <w:r>
        <w:t xml:space="preserve"> best practice in scanning herbarium records. </w:t>
      </w:r>
      <w:r w:rsidR="00823362">
        <w:t>See Recommendation</w:t>
      </w:r>
      <w:r w:rsidR="005064C4">
        <w:t>s</w:t>
      </w:r>
      <w:r w:rsidR="00823362">
        <w:t xml:space="preserve"> C1h and C9l.</w:t>
      </w:r>
    </w:p>
    <w:p w14:paraId="649A30CA" w14:textId="77777777" w:rsidR="00861FAC" w:rsidRDefault="00861FAC" w:rsidP="00BF1C47">
      <w:pPr>
        <w:numPr>
          <w:ilvl w:val="0"/>
          <w:numId w:val="20"/>
        </w:numPr>
      </w:pPr>
      <w:r>
        <w:t>No formal promotion strategy for TDWG outputs.</w:t>
      </w:r>
      <w:r w:rsidR="009718C3">
        <w:t xml:space="preserve"> See Recommendation </w:t>
      </w:r>
      <w:r w:rsidR="00893EED">
        <w:t>A2.</w:t>
      </w:r>
    </w:p>
    <w:p w14:paraId="0A4E9EBC" w14:textId="77777777" w:rsidR="00BF1C47" w:rsidRDefault="00BF1C47" w:rsidP="00BF1C47">
      <w:pPr>
        <w:pStyle w:val="Heading3"/>
      </w:pPr>
      <w:bookmarkStart w:id="15" w:name="_Toc124592129"/>
      <w:r>
        <w:t>Recommendations</w:t>
      </w:r>
      <w:bookmarkEnd w:id="15"/>
    </w:p>
    <w:p w14:paraId="052C549D" w14:textId="77777777" w:rsidR="005B6EA1" w:rsidRDefault="008B7243" w:rsidP="00BE72DE">
      <w:pPr>
        <w:numPr>
          <w:ilvl w:val="0"/>
          <w:numId w:val="21"/>
        </w:numPr>
      </w:pPr>
      <w:r>
        <w:t xml:space="preserve">Establish a </w:t>
      </w:r>
      <w:r w:rsidR="0008352D">
        <w:t xml:space="preserve">formal </w:t>
      </w:r>
      <w:r w:rsidR="00DF2AB3">
        <w:t xml:space="preserve">Scientific and </w:t>
      </w:r>
      <w:commentRangeStart w:id="16"/>
      <w:r w:rsidR="005B6EA1" w:rsidRPr="008B7243">
        <w:rPr>
          <w:b/>
        </w:rPr>
        <w:t>Technical Advisory Group (</w:t>
      </w:r>
      <w:r w:rsidR="00DF2AB3">
        <w:rPr>
          <w:b/>
        </w:rPr>
        <w:t>S</w:t>
      </w:r>
      <w:r w:rsidR="005B6EA1" w:rsidRPr="008B7243">
        <w:rPr>
          <w:b/>
        </w:rPr>
        <w:t>TAG)</w:t>
      </w:r>
      <w:commentRangeEnd w:id="16"/>
      <w:r w:rsidR="00DF2AB3">
        <w:rPr>
          <w:rStyle w:val="CommentReference"/>
          <w:sz w:val="22"/>
          <w:szCs w:val="20"/>
        </w:rPr>
        <w:commentReference w:id="16"/>
      </w:r>
      <w:r w:rsidR="005B6EA1">
        <w:t xml:space="preserve"> </w:t>
      </w:r>
      <w:r w:rsidR="0008352D">
        <w:t xml:space="preserve">as soon as possible </w:t>
      </w:r>
      <w:r w:rsidR="005B6EA1">
        <w:t>to ensure that</w:t>
      </w:r>
      <w:r>
        <w:t xml:space="preserve"> current and future </w:t>
      </w:r>
      <w:r w:rsidR="005B6EA1">
        <w:t xml:space="preserve">TDWG </w:t>
      </w:r>
      <w:r w:rsidR="0008352D">
        <w:t xml:space="preserve">initiatives </w:t>
      </w:r>
      <w:r w:rsidR="005B6EA1">
        <w:t xml:space="preserve">fit </w:t>
      </w:r>
      <w:r w:rsidR="0008352D">
        <w:t xml:space="preserve">within </w:t>
      </w:r>
      <w:r w:rsidR="005B6EA1">
        <w:t>a</w:t>
      </w:r>
      <w:r w:rsidR="00E63050">
        <w:t xml:space="preserve"> systematic </w:t>
      </w:r>
      <w:r w:rsidR="004B6051">
        <w:t xml:space="preserve">basic architecture. </w:t>
      </w:r>
      <w:r w:rsidR="005B6EA1">
        <w:t>TDWG</w:t>
      </w:r>
      <w:r w:rsidR="004B6051">
        <w:t xml:space="preserve"> </w:t>
      </w:r>
      <w:r w:rsidR="005B6EA1">
        <w:t xml:space="preserve">products should conform to a consistent design and present a consistent human and computer interface. </w:t>
      </w:r>
      <w:r w:rsidR="004B6051">
        <w:t>A</w:t>
      </w:r>
      <w:r w:rsidR="005B6EA1">
        <w:t xml:space="preserve"> standard architecture would ensure that TDWG products are valued and therefore widely</w:t>
      </w:r>
      <w:r w:rsidR="006463AB">
        <w:t xml:space="preserve"> implemented</w:t>
      </w:r>
      <w:r w:rsidR="005B6EA1">
        <w:t>.</w:t>
      </w:r>
      <w:r w:rsidR="007860BD">
        <w:t xml:space="preserve"> Th</w:t>
      </w:r>
      <w:r w:rsidR="004B6051">
        <w:t xml:space="preserve">e </w:t>
      </w:r>
      <w:r w:rsidR="006B1718">
        <w:t>S</w:t>
      </w:r>
      <w:r w:rsidR="004B6051">
        <w:t xml:space="preserve">TAG </w:t>
      </w:r>
      <w:r w:rsidR="007860BD">
        <w:t>should b</w:t>
      </w:r>
      <w:r w:rsidR="002F3E0D">
        <w:t xml:space="preserve">e </w:t>
      </w:r>
      <w:r w:rsidR="004B6051">
        <w:t xml:space="preserve">initiated with </w:t>
      </w:r>
      <w:r w:rsidR="002F3E0D">
        <w:t xml:space="preserve">current </w:t>
      </w:r>
      <w:r w:rsidR="00303530">
        <w:t>subgroup</w:t>
      </w:r>
      <w:r w:rsidR="002F3E0D">
        <w:t xml:space="preserve"> C</w:t>
      </w:r>
      <w:r w:rsidR="007860BD">
        <w:t xml:space="preserve">hairs and </w:t>
      </w:r>
      <w:r w:rsidR="00A242B6">
        <w:t xml:space="preserve">with </w:t>
      </w:r>
      <w:r w:rsidR="007860BD">
        <w:t xml:space="preserve">additional members as required by the </w:t>
      </w:r>
      <w:r w:rsidR="006B1718">
        <w:t>S</w:t>
      </w:r>
      <w:r w:rsidR="007860BD">
        <w:t xml:space="preserve">TAG. </w:t>
      </w:r>
      <w:r w:rsidR="00B26A0F">
        <w:t xml:space="preserve">A member of the Executive should be identified or appointed as a point of contact with the </w:t>
      </w:r>
      <w:r w:rsidR="002F3E0D">
        <w:t>TAG</w:t>
      </w:r>
      <w:r w:rsidR="00B26A0F">
        <w:t xml:space="preserve">. </w:t>
      </w:r>
      <w:r w:rsidR="00BE72DE">
        <w:br/>
      </w:r>
      <w:r w:rsidR="002F3E0D">
        <w:br/>
      </w:r>
      <w:r w:rsidR="007860BD">
        <w:t xml:space="preserve">The activities of the </w:t>
      </w:r>
      <w:r w:rsidR="006B1718">
        <w:t>S</w:t>
      </w:r>
      <w:r w:rsidR="007860BD">
        <w:t>TAG could include</w:t>
      </w:r>
      <w:r w:rsidR="00B26A0F">
        <w:t>-</w:t>
      </w:r>
    </w:p>
    <w:p w14:paraId="10B6B500" w14:textId="77777777" w:rsidR="00651379" w:rsidRDefault="00651379" w:rsidP="007860BD">
      <w:pPr>
        <w:numPr>
          <w:ilvl w:val="1"/>
          <w:numId w:val="21"/>
        </w:numPr>
      </w:pPr>
      <w:r>
        <w:t xml:space="preserve">The design of an integrating architecture </w:t>
      </w:r>
      <w:r w:rsidR="002F0753">
        <w:t xml:space="preserve">plan </w:t>
      </w:r>
      <w:r>
        <w:t>for TDWG development activities</w:t>
      </w:r>
    </w:p>
    <w:p w14:paraId="4C4A69B0" w14:textId="77777777" w:rsidR="00E608CA" w:rsidRDefault="00E608CA" w:rsidP="00E608CA">
      <w:pPr>
        <w:numPr>
          <w:ilvl w:val="1"/>
          <w:numId w:val="21"/>
        </w:numPr>
      </w:pPr>
      <w:r w:rsidRPr="00E608CA">
        <w:t xml:space="preserve">Evaluation of new proposals </w:t>
      </w:r>
      <w:r>
        <w:t>for TDWG Task Groups</w:t>
      </w:r>
    </w:p>
    <w:p w14:paraId="5DC5509D" w14:textId="77777777" w:rsidR="00E608CA" w:rsidRDefault="00223047" w:rsidP="007860BD">
      <w:pPr>
        <w:numPr>
          <w:ilvl w:val="1"/>
          <w:numId w:val="21"/>
        </w:numPr>
      </w:pPr>
      <w:r>
        <w:t>G</w:t>
      </w:r>
      <w:r w:rsidR="00E608CA" w:rsidRPr="00E608CA">
        <w:t xml:space="preserve">uidance to </w:t>
      </w:r>
      <w:r w:rsidR="00303530">
        <w:t>subgroup</w:t>
      </w:r>
      <w:r>
        <w:t>s on integration issues</w:t>
      </w:r>
    </w:p>
    <w:p w14:paraId="75B28268" w14:textId="77777777" w:rsidR="007860BD" w:rsidRDefault="007860BD" w:rsidP="007860BD">
      <w:pPr>
        <w:numPr>
          <w:ilvl w:val="1"/>
          <w:numId w:val="21"/>
        </w:numPr>
      </w:pPr>
      <w:r>
        <w:t xml:space="preserve">Monitoring of </w:t>
      </w:r>
      <w:r w:rsidR="00311E1C">
        <w:t>Task Group</w:t>
      </w:r>
      <w:r>
        <w:t>s against milestones</w:t>
      </w:r>
    </w:p>
    <w:p w14:paraId="5C41B4C8" w14:textId="77777777" w:rsidR="007860BD" w:rsidRDefault="00D415EF" w:rsidP="007860BD">
      <w:pPr>
        <w:numPr>
          <w:ilvl w:val="1"/>
          <w:numId w:val="21"/>
        </w:numPr>
      </w:pPr>
      <w:r>
        <w:t xml:space="preserve">Evaluating </w:t>
      </w:r>
      <w:r w:rsidR="00311E1C">
        <w:t>Task Group</w:t>
      </w:r>
      <w:r>
        <w:t xml:space="preserve"> </w:t>
      </w:r>
      <w:r w:rsidR="007860BD">
        <w:t>outputs</w:t>
      </w:r>
      <w:r>
        <w:t xml:space="preserve"> against the TDWG architecture plan</w:t>
      </w:r>
    </w:p>
    <w:p w14:paraId="5FC1572A" w14:textId="77777777" w:rsidR="009F2F9D" w:rsidRPr="00D26333" w:rsidRDefault="00CD1246" w:rsidP="00CE08FF">
      <w:pPr>
        <w:numPr>
          <w:ilvl w:val="0"/>
          <w:numId w:val="21"/>
        </w:numPr>
      </w:pPr>
      <w:r>
        <w:t xml:space="preserve">Adopt the recommendations </w:t>
      </w:r>
      <w:r w:rsidR="008340C3">
        <w:t xml:space="preserve">for documentation within TDWG </w:t>
      </w:r>
      <w:r>
        <w:t>being generated through t</w:t>
      </w:r>
      <w:r w:rsidR="008340C3">
        <w:t xml:space="preserve">he TDWG Infrastructure Project. </w:t>
      </w:r>
    </w:p>
    <w:p w14:paraId="1739BF6D" w14:textId="77777777" w:rsidR="009064D1" w:rsidRPr="009E4F57" w:rsidRDefault="009064D1"/>
    <w:sectPr w:rsidR="009064D1" w:rsidRPr="009E4F57">
      <w:footerReference w:type="default" r:id="rId13"/>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Hyam" w:date="2006-01-09T17:45:00Z" w:initials="R.D.">
    <w:p w14:paraId="4B4DB243" w14:textId="77777777" w:rsidR="00A84ED6" w:rsidRDefault="00A84ED6">
      <w:pPr>
        <w:pStyle w:val="CommentText"/>
      </w:pPr>
      <w:r>
        <w:rPr>
          <w:rStyle w:val="CommentReference"/>
        </w:rPr>
        <w:annotationRef/>
      </w:r>
      <w:r>
        <w:t>I have always told people that it is best to do a system manually before it is automated. I am not sure that automation should be introduced at this stage. Do we want to commit resources like this?</w:t>
      </w:r>
    </w:p>
  </w:comment>
  <w:comment w:id="16" w:author="Lee Belbin" w:date="2006-01-09T17:45:00Z" w:initials="LB">
    <w:p w14:paraId="7EBC9FC9" w14:textId="77777777" w:rsidR="00A84ED6" w:rsidRDefault="00A84ED6">
      <w:pPr>
        <w:pStyle w:val="CommentText"/>
      </w:pPr>
      <w:r>
        <w:rPr>
          <w:rStyle w:val="CommentReference"/>
        </w:rPr>
        <w:annotationRef/>
      </w:r>
      <w:r>
        <w:t>Walter: “Technical” is a term too restricted to fit in content-oriented standards (Scientific and Technical should be the term, I think, which makes it a STAG).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4DB243" w15:done="0"/>
  <w15:commentEx w15:paraId="7EBC9F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DB243" w16cid:durableId="06F51E67"/>
  <w16cid:commentId w16cid:paraId="7EBC9FC9" w16cid:durableId="076D1F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E9C4" w14:textId="77777777" w:rsidR="00435099" w:rsidRDefault="00435099">
      <w:r>
        <w:separator/>
      </w:r>
    </w:p>
  </w:endnote>
  <w:endnote w:type="continuationSeparator" w:id="0">
    <w:p w14:paraId="39C6E2A4" w14:textId="77777777" w:rsidR="00435099" w:rsidRDefault="0043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39DA" w14:textId="77777777" w:rsidR="00A84ED6" w:rsidRPr="0001658A" w:rsidRDefault="00A84ED6" w:rsidP="0001658A">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9CBC" w14:textId="77777777" w:rsidR="00435099" w:rsidRDefault="00435099">
      <w:r>
        <w:separator/>
      </w:r>
    </w:p>
  </w:footnote>
  <w:footnote w:type="continuationSeparator" w:id="0">
    <w:p w14:paraId="42763BE2" w14:textId="77777777" w:rsidR="00435099" w:rsidRDefault="00435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9F1"/>
    <w:multiLevelType w:val="hybridMultilevel"/>
    <w:tmpl w:val="75EEBD14"/>
    <w:lvl w:ilvl="0" w:tplc="85CED0C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ED7E25"/>
    <w:multiLevelType w:val="multilevel"/>
    <w:tmpl w:val="224C12BE"/>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A8C1BFA"/>
    <w:multiLevelType w:val="hybridMultilevel"/>
    <w:tmpl w:val="CF965260"/>
    <w:lvl w:ilvl="0" w:tplc="85CED0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455A3B"/>
    <w:multiLevelType w:val="hybridMultilevel"/>
    <w:tmpl w:val="A4C81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6351F"/>
    <w:multiLevelType w:val="multilevel"/>
    <w:tmpl w:val="112C0776"/>
    <w:numStyleLink w:val="StyleNumbered"/>
  </w:abstractNum>
  <w:abstractNum w:abstractNumId="5" w15:restartNumberingAfterBreak="0">
    <w:nsid w:val="289D5711"/>
    <w:multiLevelType w:val="multilevel"/>
    <w:tmpl w:val="112C0776"/>
    <w:numStyleLink w:val="StyleNumbered"/>
  </w:abstractNum>
  <w:abstractNum w:abstractNumId="6" w15:restartNumberingAfterBreak="0">
    <w:nsid w:val="2B162A51"/>
    <w:multiLevelType w:val="multilevel"/>
    <w:tmpl w:val="112C0776"/>
    <w:numStyleLink w:val="StyleNumbered"/>
  </w:abstractNum>
  <w:abstractNum w:abstractNumId="7" w15:restartNumberingAfterBreak="0">
    <w:nsid w:val="2F4829AB"/>
    <w:multiLevelType w:val="multilevel"/>
    <w:tmpl w:val="112C0776"/>
    <w:numStyleLink w:val="StyleNumbered"/>
  </w:abstractNum>
  <w:abstractNum w:abstractNumId="8" w15:restartNumberingAfterBreak="0">
    <w:nsid w:val="30282A55"/>
    <w:multiLevelType w:val="hybridMultilevel"/>
    <w:tmpl w:val="57024A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EC60AB"/>
    <w:multiLevelType w:val="multilevel"/>
    <w:tmpl w:val="224C12BE"/>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1F5C28"/>
    <w:multiLevelType w:val="multilevel"/>
    <w:tmpl w:val="112C0776"/>
    <w:styleLink w:val="StyleNumbered"/>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910B8"/>
    <w:multiLevelType w:val="multilevel"/>
    <w:tmpl w:val="112C0776"/>
    <w:numStyleLink w:val="StyleNumbered"/>
  </w:abstractNum>
  <w:abstractNum w:abstractNumId="12" w15:restartNumberingAfterBreak="0">
    <w:nsid w:val="4A795210"/>
    <w:multiLevelType w:val="hybridMultilevel"/>
    <w:tmpl w:val="ED02101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339DF"/>
    <w:multiLevelType w:val="multilevel"/>
    <w:tmpl w:val="57024A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6D57DD2"/>
    <w:multiLevelType w:val="multilevel"/>
    <w:tmpl w:val="112C0776"/>
    <w:numStyleLink w:val="StyleNumbered"/>
  </w:abstractNum>
  <w:abstractNum w:abstractNumId="15" w15:restartNumberingAfterBreak="0">
    <w:nsid w:val="576632B1"/>
    <w:multiLevelType w:val="hybridMultilevel"/>
    <w:tmpl w:val="F99A3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A47B1"/>
    <w:multiLevelType w:val="hybridMultilevel"/>
    <w:tmpl w:val="190E7F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2C6529"/>
    <w:multiLevelType w:val="multilevel"/>
    <w:tmpl w:val="ED02101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24755F"/>
    <w:multiLevelType w:val="hybridMultilevel"/>
    <w:tmpl w:val="F788C752"/>
    <w:lvl w:ilvl="0" w:tplc="85CED0C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A91574"/>
    <w:multiLevelType w:val="multilevel"/>
    <w:tmpl w:val="112C0776"/>
    <w:numStyleLink w:val="StyleNumbered"/>
  </w:abstractNum>
  <w:abstractNum w:abstractNumId="20" w15:restartNumberingAfterBreak="0">
    <w:nsid w:val="7EBF44B9"/>
    <w:multiLevelType w:val="multilevel"/>
    <w:tmpl w:val="112C0776"/>
    <w:numStyleLink w:val="StyleNumbered"/>
  </w:abstractNum>
  <w:num w:numId="1" w16cid:durableId="577592153">
    <w:abstractNumId w:val="3"/>
  </w:num>
  <w:num w:numId="2" w16cid:durableId="655063598">
    <w:abstractNumId w:val="10"/>
  </w:num>
  <w:num w:numId="3" w16cid:durableId="2048286787">
    <w:abstractNumId w:val="12"/>
  </w:num>
  <w:num w:numId="4" w16cid:durableId="990713818">
    <w:abstractNumId w:val="2"/>
  </w:num>
  <w:num w:numId="5" w16cid:durableId="813181751">
    <w:abstractNumId w:val="20"/>
  </w:num>
  <w:num w:numId="6" w16cid:durableId="196966779">
    <w:abstractNumId w:val="17"/>
  </w:num>
  <w:num w:numId="7" w16cid:durableId="1196236245">
    <w:abstractNumId w:val="8"/>
  </w:num>
  <w:num w:numId="8" w16cid:durableId="894123081">
    <w:abstractNumId w:val="4"/>
  </w:num>
  <w:num w:numId="9" w16cid:durableId="184684385">
    <w:abstractNumId w:val="0"/>
  </w:num>
  <w:num w:numId="10" w16cid:durableId="1037317260">
    <w:abstractNumId w:val="13"/>
  </w:num>
  <w:num w:numId="11" w16cid:durableId="452409828">
    <w:abstractNumId w:val="16"/>
  </w:num>
  <w:num w:numId="12" w16cid:durableId="567813604">
    <w:abstractNumId w:val="18"/>
  </w:num>
  <w:num w:numId="13" w16cid:durableId="1598516724">
    <w:abstractNumId w:val="15"/>
  </w:num>
  <w:num w:numId="14" w16cid:durableId="2123956533">
    <w:abstractNumId w:val="1"/>
  </w:num>
  <w:num w:numId="15" w16cid:durableId="1803958036">
    <w:abstractNumId w:val="9"/>
  </w:num>
  <w:num w:numId="16" w16cid:durableId="957495062">
    <w:abstractNumId w:val="14"/>
  </w:num>
  <w:num w:numId="17" w16cid:durableId="279843072">
    <w:abstractNumId w:val="5"/>
  </w:num>
  <w:num w:numId="18" w16cid:durableId="1763330065">
    <w:abstractNumId w:val="19"/>
  </w:num>
  <w:num w:numId="19" w16cid:durableId="1915504511">
    <w:abstractNumId w:val="6"/>
  </w:num>
  <w:num w:numId="20" w16cid:durableId="472334297">
    <w:abstractNumId w:val="7"/>
  </w:num>
  <w:num w:numId="21" w16cid:durableId="922254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57"/>
    <w:rsid w:val="00001A3B"/>
    <w:rsid w:val="00003062"/>
    <w:rsid w:val="0001658A"/>
    <w:rsid w:val="000253A6"/>
    <w:rsid w:val="00030E64"/>
    <w:rsid w:val="00044FE1"/>
    <w:rsid w:val="00056003"/>
    <w:rsid w:val="00065E90"/>
    <w:rsid w:val="0007187F"/>
    <w:rsid w:val="00071CAF"/>
    <w:rsid w:val="00071D03"/>
    <w:rsid w:val="000770E9"/>
    <w:rsid w:val="00080DF7"/>
    <w:rsid w:val="0008352D"/>
    <w:rsid w:val="00083E12"/>
    <w:rsid w:val="00093091"/>
    <w:rsid w:val="00095D28"/>
    <w:rsid w:val="000A004C"/>
    <w:rsid w:val="000A2028"/>
    <w:rsid w:val="000A5853"/>
    <w:rsid w:val="000B4E73"/>
    <w:rsid w:val="000B701F"/>
    <w:rsid w:val="000C4573"/>
    <w:rsid w:val="000D1F56"/>
    <w:rsid w:val="000D4739"/>
    <w:rsid w:val="000D5E69"/>
    <w:rsid w:val="000E624F"/>
    <w:rsid w:val="000E7999"/>
    <w:rsid w:val="000F655F"/>
    <w:rsid w:val="00101B54"/>
    <w:rsid w:val="00120137"/>
    <w:rsid w:val="00121607"/>
    <w:rsid w:val="001420C4"/>
    <w:rsid w:val="00145748"/>
    <w:rsid w:val="00146CEB"/>
    <w:rsid w:val="001806F8"/>
    <w:rsid w:val="00181AA0"/>
    <w:rsid w:val="0018583F"/>
    <w:rsid w:val="001A3F2B"/>
    <w:rsid w:val="001A4AC9"/>
    <w:rsid w:val="001A657F"/>
    <w:rsid w:val="001A7538"/>
    <w:rsid w:val="001C7D63"/>
    <w:rsid w:val="001D1B57"/>
    <w:rsid w:val="001E26F4"/>
    <w:rsid w:val="001E58A3"/>
    <w:rsid w:val="001F2C34"/>
    <w:rsid w:val="001F3FFD"/>
    <w:rsid w:val="001F511D"/>
    <w:rsid w:val="001F746C"/>
    <w:rsid w:val="00202D0B"/>
    <w:rsid w:val="00204154"/>
    <w:rsid w:val="00207AFD"/>
    <w:rsid w:val="00217EFF"/>
    <w:rsid w:val="00223047"/>
    <w:rsid w:val="002246A3"/>
    <w:rsid w:val="002248D9"/>
    <w:rsid w:val="00231371"/>
    <w:rsid w:val="00234845"/>
    <w:rsid w:val="0024226C"/>
    <w:rsid w:val="00247831"/>
    <w:rsid w:val="00253EAB"/>
    <w:rsid w:val="00262D88"/>
    <w:rsid w:val="00271515"/>
    <w:rsid w:val="00273D78"/>
    <w:rsid w:val="00274B00"/>
    <w:rsid w:val="00285045"/>
    <w:rsid w:val="00293020"/>
    <w:rsid w:val="00294DD7"/>
    <w:rsid w:val="002A02B4"/>
    <w:rsid w:val="002B5A32"/>
    <w:rsid w:val="002B74A6"/>
    <w:rsid w:val="002C378D"/>
    <w:rsid w:val="002C3FA6"/>
    <w:rsid w:val="002C554E"/>
    <w:rsid w:val="002D2126"/>
    <w:rsid w:val="002D4C1F"/>
    <w:rsid w:val="002F0753"/>
    <w:rsid w:val="002F3E0D"/>
    <w:rsid w:val="002F6961"/>
    <w:rsid w:val="00303530"/>
    <w:rsid w:val="00311E1C"/>
    <w:rsid w:val="00327712"/>
    <w:rsid w:val="0033021B"/>
    <w:rsid w:val="00335F69"/>
    <w:rsid w:val="00347034"/>
    <w:rsid w:val="00347453"/>
    <w:rsid w:val="0035142B"/>
    <w:rsid w:val="00353F16"/>
    <w:rsid w:val="00353F67"/>
    <w:rsid w:val="0035781C"/>
    <w:rsid w:val="003606A9"/>
    <w:rsid w:val="00364AA1"/>
    <w:rsid w:val="00372B06"/>
    <w:rsid w:val="003744B6"/>
    <w:rsid w:val="00375113"/>
    <w:rsid w:val="003930C0"/>
    <w:rsid w:val="00393BE6"/>
    <w:rsid w:val="003A34B0"/>
    <w:rsid w:val="003B2693"/>
    <w:rsid w:val="003E100E"/>
    <w:rsid w:val="003E1595"/>
    <w:rsid w:val="003E448D"/>
    <w:rsid w:val="00402E7B"/>
    <w:rsid w:val="004037DB"/>
    <w:rsid w:val="00412634"/>
    <w:rsid w:val="0041300B"/>
    <w:rsid w:val="00414783"/>
    <w:rsid w:val="00421301"/>
    <w:rsid w:val="00422CA2"/>
    <w:rsid w:val="00435099"/>
    <w:rsid w:val="00444FC8"/>
    <w:rsid w:val="00446990"/>
    <w:rsid w:val="00447779"/>
    <w:rsid w:val="0045576C"/>
    <w:rsid w:val="004640C4"/>
    <w:rsid w:val="00465267"/>
    <w:rsid w:val="00466ECF"/>
    <w:rsid w:val="004760C5"/>
    <w:rsid w:val="00480119"/>
    <w:rsid w:val="0049381F"/>
    <w:rsid w:val="00493E9A"/>
    <w:rsid w:val="00497FA5"/>
    <w:rsid w:val="004A37DE"/>
    <w:rsid w:val="004A781A"/>
    <w:rsid w:val="004B48F8"/>
    <w:rsid w:val="004B6051"/>
    <w:rsid w:val="004D510D"/>
    <w:rsid w:val="004F40B2"/>
    <w:rsid w:val="004F5DFB"/>
    <w:rsid w:val="004F5EE5"/>
    <w:rsid w:val="004F63BD"/>
    <w:rsid w:val="0050090A"/>
    <w:rsid w:val="00500C0D"/>
    <w:rsid w:val="005064C4"/>
    <w:rsid w:val="00511F09"/>
    <w:rsid w:val="00534EF0"/>
    <w:rsid w:val="00551C61"/>
    <w:rsid w:val="0055626F"/>
    <w:rsid w:val="00560FC1"/>
    <w:rsid w:val="005627C8"/>
    <w:rsid w:val="005635CF"/>
    <w:rsid w:val="005705F1"/>
    <w:rsid w:val="00590EDE"/>
    <w:rsid w:val="005B4E3B"/>
    <w:rsid w:val="005B6EA1"/>
    <w:rsid w:val="005C05BA"/>
    <w:rsid w:val="005C1728"/>
    <w:rsid w:val="005C4B70"/>
    <w:rsid w:val="005C5500"/>
    <w:rsid w:val="005C6A2A"/>
    <w:rsid w:val="005D37C2"/>
    <w:rsid w:val="005D599E"/>
    <w:rsid w:val="005E27C7"/>
    <w:rsid w:val="005E7341"/>
    <w:rsid w:val="005F0856"/>
    <w:rsid w:val="005F0CA3"/>
    <w:rsid w:val="005F202E"/>
    <w:rsid w:val="00606FFD"/>
    <w:rsid w:val="006123E3"/>
    <w:rsid w:val="00615FB9"/>
    <w:rsid w:val="006168BD"/>
    <w:rsid w:val="006422BF"/>
    <w:rsid w:val="006456E9"/>
    <w:rsid w:val="006463AB"/>
    <w:rsid w:val="00651379"/>
    <w:rsid w:val="006779F9"/>
    <w:rsid w:val="00686463"/>
    <w:rsid w:val="00690A06"/>
    <w:rsid w:val="00696C5A"/>
    <w:rsid w:val="006B1718"/>
    <w:rsid w:val="006B720C"/>
    <w:rsid w:val="006C00E6"/>
    <w:rsid w:val="006E2A30"/>
    <w:rsid w:val="006E4667"/>
    <w:rsid w:val="006F41CF"/>
    <w:rsid w:val="006F47D8"/>
    <w:rsid w:val="00703AA0"/>
    <w:rsid w:val="00711FC9"/>
    <w:rsid w:val="00723067"/>
    <w:rsid w:val="00747A92"/>
    <w:rsid w:val="00747F40"/>
    <w:rsid w:val="00756E64"/>
    <w:rsid w:val="00762A14"/>
    <w:rsid w:val="00767165"/>
    <w:rsid w:val="0077366D"/>
    <w:rsid w:val="00774257"/>
    <w:rsid w:val="00774638"/>
    <w:rsid w:val="00785587"/>
    <w:rsid w:val="00785BFD"/>
    <w:rsid w:val="007860BD"/>
    <w:rsid w:val="007A1FF7"/>
    <w:rsid w:val="007B7754"/>
    <w:rsid w:val="007B7EF8"/>
    <w:rsid w:val="007C1365"/>
    <w:rsid w:val="007C4199"/>
    <w:rsid w:val="007C600D"/>
    <w:rsid w:val="007D3955"/>
    <w:rsid w:val="007D5058"/>
    <w:rsid w:val="007E304B"/>
    <w:rsid w:val="007E4CE4"/>
    <w:rsid w:val="007E78A4"/>
    <w:rsid w:val="007F0F9E"/>
    <w:rsid w:val="007F3C4E"/>
    <w:rsid w:val="00804604"/>
    <w:rsid w:val="00814849"/>
    <w:rsid w:val="00823362"/>
    <w:rsid w:val="00825659"/>
    <w:rsid w:val="0083221F"/>
    <w:rsid w:val="008328DA"/>
    <w:rsid w:val="008340C3"/>
    <w:rsid w:val="0084070A"/>
    <w:rsid w:val="008467BB"/>
    <w:rsid w:val="00850017"/>
    <w:rsid w:val="008615AB"/>
    <w:rsid w:val="00861FAC"/>
    <w:rsid w:val="00885FDA"/>
    <w:rsid w:val="008910CD"/>
    <w:rsid w:val="008936A0"/>
    <w:rsid w:val="00893EED"/>
    <w:rsid w:val="00894EB0"/>
    <w:rsid w:val="00897F17"/>
    <w:rsid w:val="008B44B6"/>
    <w:rsid w:val="008B4BBB"/>
    <w:rsid w:val="008B714A"/>
    <w:rsid w:val="008B7243"/>
    <w:rsid w:val="008C1CD0"/>
    <w:rsid w:val="008D10A8"/>
    <w:rsid w:val="008E7BE0"/>
    <w:rsid w:val="008F4CA4"/>
    <w:rsid w:val="009004E0"/>
    <w:rsid w:val="009064D1"/>
    <w:rsid w:val="009117ED"/>
    <w:rsid w:val="00917E59"/>
    <w:rsid w:val="00933701"/>
    <w:rsid w:val="009341DC"/>
    <w:rsid w:val="00934809"/>
    <w:rsid w:val="009463A2"/>
    <w:rsid w:val="0096665E"/>
    <w:rsid w:val="009718C3"/>
    <w:rsid w:val="00972B5D"/>
    <w:rsid w:val="0098206A"/>
    <w:rsid w:val="009914AA"/>
    <w:rsid w:val="00995F9E"/>
    <w:rsid w:val="00996330"/>
    <w:rsid w:val="009A1A05"/>
    <w:rsid w:val="009B0142"/>
    <w:rsid w:val="009B0783"/>
    <w:rsid w:val="009B50CF"/>
    <w:rsid w:val="009C7140"/>
    <w:rsid w:val="009D0954"/>
    <w:rsid w:val="009D2BBD"/>
    <w:rsid w:val="009D3C83"/>
    <w:rsid w:val="009D5403"/>
    <w:rsid w:val="009E4F57"/>
    <w:rsid w:val="009F2F9D"/>
    <w:rsid w:val="009F3495"/>
    <w:rsid w:val="009F48CB"/>
    <w:rsid w:val="00A038B6"/>
    <w:rsid w:val="00A06FB5"/>
    <w:rsid w:val="00A07532"/>
    <w:rsid w:val="00A12805"/>
    <w:rsid w:val="00A14099"/>
    <w:rsid w:val="00A15E5D"/>
    <w:rsid w:val="00A21461"/>
    <w:rsid w:val="00A242B6"/>
    <w:rsid w:val="00A25796"/>
    <w:rsid w:val="00A3248D"/>
    <w:rsid w:val="00A32E70"/>
    <w:rsid w:val="00A36A7F"/>
    <w:rsid w:val="00A46CB5"/>
    <w:rsid w:val="00A52BEB"/>
    <w:rsid w:val="00A57C19"/>
    <w:rsid w:val="00A660DD"/>
    <w:rsid w:val="00A80412"/>
    <w:rsid w:val="00A84ED6"/>
    <w:rsid w:val="00A87112"/>
    <w:rsid w:val="00A91164"/>
    <w:rsid w:val="00AA767E"/>
    <w:rsid w:val="00AB08EA"/>
    <w:rsid w:val="00AB1977"/>
    <w:rsid w:val="00AC5D69"/>
    <w:rsid w:val="00AD325B"/>
    <w:rsid w:val="00AE029E"/>
    <w:rsid w:val="00AE061D"/>
    <w:rsid w:val="00AE0DC5"/>
    <w:rsid w:val="00AE505B"/>
    <w:rsid w:val="00AF1487"/>
    <w:rsid w:val="00AF2DBA"/>
    <w:rsid w:val="00AF4FA6"/>
    <w:rsid w:val="00AF69B4"/>
    <w:rsid w:val="00B105F1"/>
    <w:rsid w:val="00B225CF"/>
    <w:rsid w:val="00B241AB"/>
    <w:rsid w:val="00B246C0"/>
    <w:rsid w:val="00B26A0F"/>
    <w:rsid w:val="00B40508"/>
    <w:rsid w:val="00B617A6"/>
    <w:rsid w:val="00B61E50"/>
    <w:rsid w:val="00B62947"/>
    <w:rsid w:val="00BA3DE4"/>
    <w:rsid w:val="00BA5141"/>
    <w:rsid w:val="00BB0BD9"/>
    <w:rsid w:val="00BB6FAD"/>
    <w:rsid w:val="00BD5C73"/>
    <w:rsid w:val="00BD70D1"/>
    <w:rsid w:val="00BE1ED0"/>
    <w:rsid w:val="00BE4179"/>
    <w:rsid w:val="00BE4C33"/>
    <w:rsid w:val="00BE72DE"/>
    <w:rsid w:val="00BF1C47"/>
    <w:rsid w:val="00BF39CB"/>
    <w:rsid w:val="00C02DD6"/>
    <w:rsid w:val="00C21196"/>
    <w:rsid w:val="00C3701A"/>
    <w:rsid w:val="00C478ED"/>
    <w:rsid w:val="00C54C0E"/>
    <w:rsid w:val="00C73264"/>
    <w:rsid w:val="00C762DE"/>
    <w:rsid w:val="00C8138F"/>
    <w:rsid w:val="00C95FBC"/>
    <w:rsid w:val="00CA58CC"/>
    <w:rsid w:val="00CB60F6"/>
    <w:rsid w:val="00CB67A2"/>
    <w:rsid w:val="00CD1246"/>
    <w:rsid w:val="00CD1673"/>
    <w:rsid w:val="00CE08FF"/>
    <w:rsid w:val="00CE2C56"/>
    <w:rsid w:val="00CE54FB"/>
    <w:rsid w:val="00D05226"/>
    <w:rsid w:val="00D13DB7"/>
    <w:rsid w:val="00D2035F"/>
    <w:rsid w:val="00D20D0B"/>
    <w:rsid w:val="00D26333"/>
    <w:rsid w:val="00D34B97"/>
    <w:rsid w:val="00D415EF"/>
    <w:rsid w:val="00D615F2"/>
    <w:rsid w:val="00D71094"/>
    <w:rsid w:val="00D73640"/>
    <w:rsid w:val="00D812F7"/>
    <w:rsid w:val="00D83638"/>
    <w:rsid w:val="00D83FF9"/>
    <w:rsid w:val="00D842FB"/>
    <w:rsid w:val="00D95423"/>
    <w:rsid w:val="00DA40E7"/>
    <w:rsid w:val="00DB061D"/>
    <w:rsid w:val="00DB28DD"/>
    <w:rsid w:val="00DB4405"/>
    <w:rsid w:val="00DE4924"/>
    <w:rsid w:val="00DF2AB3"/>
    <w:rsid w:val="00DF6AF1"/>
    <w:rsid w:val="00E026BC"/>
    <w:rsid w:val="00E03A53"/>
    <w:rsid w:val="00E053E8"/>
    <w:rsid w:val="00E06A93"/>
    <w:rsid w:val="00E15038"/>
    <w:rsid w:val="00E368D9"/>
    <w:rsid w:val="00E36CA3"/>
    <w:rsid w:val="00E37A74"/>
    <w:rsid w:val="00E44D08"/>
    <w:rsid w:val="00E45A9B"/>
    <w:rsid w:val="00E608CA"/>
    <w:rsid w:val="00E63050"/>
    <w:rsid w:val="00E638E8"/>
    <w:rsid w:val="00E71A20"/>
    <w:rsid w:val="00E752F7"/>
    <w:rsid w:val="00E76D2B"/>
    <w:rsid w:val="00E77E2C"/>
    <w:rsid w:val="00E84A99"/>
    <w:rsid w:val="00E858B6"/>
    <w:rsid w:val="00E95DF8"/>
    <w:rsid w:val="00E96F3E"/>
    <w:rsid w:val="00E974F9"/>
    <w:rsid w:val="00EA4A6E"/>
    <w:rsid w:val="00EB1311"/>
    <w:rsid w:val="00EB2DDA"/>
    <w:rsid w:val="00EC2EC3"/>
    <w:rsid w:val="00EC6C1A"/>
    <w:rsid w:val="00F03594"/>
    <w:rsid w:val="00F049C2"/>
    <w:rsid w:val="00F146A4"/>
    <w:rsid w:val="00F14859"/>
    <w:rsid w:val="00F15918"/>
    <w:rsid w:val="00F23F66"/>
    <w:rsid w:val="00F26DBE"/>
    <w:rsid w:val="00F30B4A"/>
    <w:rsid w:val="00F31430"/>
    <w:rsid w:val="00F31A00"/>
    <w:rsid w:val="00F326D5"/>
    <w:rsid w:val="00F34104"/>
    <w:rsid w:val="00F42012"/>
    <w:rsid w:val="00F438ED"/>
    <w:rsid w:val="00F5225F"/>
    <w:rsid w:val="00F55059"/>
    <w:rsid w:val="00F559E1"/>
    <w:rsid w:val="00F5724D"/>
    <w:rsid w:val="00F75774"/>
    <w:rsid w:val="00F7666C"/>
    <w:rsid w:val="00F77578"/>
    <w:rsid w:val="00F83FD0"/>
    <w:rsid w:val="00F94D85"/>
    <w:rsid w:val="00FB3A3F"/>
    <w:rsid w:val="00FB3C4E"/>
    <w:rsid w:val="00FB4AB1"/>
    <w:rsid w:val="00FC0572"/>
    <w:rsid w:val="00FD3CF1"/>
    <w:rsid w:val="00FD3FB8"/>
    <w:rsid w:val="00FD60D3"/>
    <w:rsid w:val="00FE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7FD5A"/>
  <w15:chartTrackingRefBased/>
  <w15:docId w15:val="{FCD59C45-D0EC-D448-9E04-C84B76C3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2DE"/>
    <w:pPr>
      <w:spacing w:after="120"/>
    </w:pPr>
    <w:rPr>
      <w:rFonts w:ascii="Arial" w:hAnsi="Arial" w:cs="Arial"/>
      <w:sz w:val="22"/>
      <w:lang w:val="en-GB" w:eastAsia="en-GB"/>
    </w:rPr>
  </w:style>
  <w:style w:type="paragraph" w:styleId="Heading1">
    <w:name w:val="heading 1"/>
    <w:basedOn w:val="Normal"/>
    <w:next w:val="Normal"/>
    <w:qFormat/>
    <w:rsid w:val="006779F9"/>
    <w:pPr>
      <w:keepNext/>
      <w:spacing w:before="240" w:after="60"/>
      <w:jc w:val="center"/>
      <w:outlineLvl w:val="0"/>
    </w:pPr>
    <w:rPr>
      <w:b/>
      <w:bCs/>
      <w:kern w:val="32"/>
      <w:sz w:val="40"/>
      <w:szCs w:val="32"/>
    </w:rPr>
  </w:style>
  <w:style w:type="paragraph" w:styleId="Heading2">
    <w:name w:val="heading 2"/>
    <w:basedOn w:val="Normal"/>
    <w:next w:val="Normal"/>
    <w:qFormat/>
    <w:rsid w:val="006779F9"/>
    <w:pPr>
      <w:keepNext/>
      <w:spacing w:before="240" w:after="60"/>
      <w:outlineLvl w:val="1"/>
    </w:pPr>
    <w:rPr>
      <w:b/>
      <w:bCs/>
      <w:iCs/>
      <w:sz w:val="28"/>
      <w:szCs w:val="28"/>
    </w:rPr>
  </w:style>
  <w:style w:type="paragraph" w:styleId="Heading3">
    <w:name w:val="heading 3"/>
    <w:basedOn w:val="Normal"/>
    <w:next w:val="Normal"/>
    <w:qFormat/>
    <w:rsid w:val="006779F9"/>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Numbered">
    <w:name w:val="Style Numbered"/>
    <w:basedOn w:val="NoList"/>
    <w:rsid w:val="006779F9"/>
    <w:pPr>
      <w:numPr>
        <w:numId w:val="2"/>
      </w:numPr>
    </w:pPr>
  </w:style>
  <w:style w:type="paragraph" w:customStyle="1" w:styleId="Reference">
    <w:name w:val="Reference"/>
    <w:basedOn w:val="Normal"/>
    <w:rsid w:val="006779F9"/>
    <w:pPr>
      <w:ind w:left="720" w:hanging="720"/>
    </w:pPr>
    <w:rPr>
      <w:szCs w:val="22"/>
      <w:lang w:val="en-AU"/>
    </w:rPr>
  </w:style>
  <w:style w:type="paragraph" w:styleId="Header">
    <w:name w:val="header"/>
    <w:basedOn w:val="Normal"/>
    <w:rsid w:val="006779F9"/>
    <w:pPr>
      <w:tabs>
        <w:tab w:val="center" w:pos="4153"/>
        <w:tab w:val="right" w:pos="8306"/>
      </w:tabs>
    </w:pPr>
  </w:style>
  <w:style w:type="paragraph" w:styleId="Footer">
    <w:name w:val="footer"/>
    <w:basedOn w:val="Normal"/>
    <w:rsid w:val="006779F9"/>
    <w:pPr>
      <w:tabs>
        <w:tab w:val="center" w:pos="4153"/>
        <w:tab w:val="right" w:pos="8306"/>
      </w:tabs>
    </w:pPr>
  </w:style>
  <w:style w:type="character" w:styleId="Hyperlink">
    <w:name w:val="Hyperlink"/>
    <w:basedOn w:val="DefaultParagraphFont"/>
    <w:rsid w:val="006779F9"/>
    <w:rPr>
      <w:color w:val="0000FF"/>
      <w:u w:val="single"/>
    </w:rPr>
  </w:style>
  <w:style w:type="table" w:styleId="TableGrid">
    <w:name w:val="Table Grid"/>
    <w:basedOn w:val="TableNormal"/>
    <w:rsid w:val="006779F9"/>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2B06"/>
    <w:rPr>
      <w:rFonts w:ascii="Tahoma" w:hAnsi="Tahoma" w:cs="Tahoma"/>
      <w:sz w:val="16"/>
      <w:szCs w:val="16"/>
    </w:rPr>
  </w:style>
  <w:style w:type="character" w:styleId="CommentReference">
    <w:name w:val="annotation reference"/>
    <w:basedOn w:val="DefaultParagraphFont"/>
    <w:semiHidden/>
    <w:rsid w:val="00372B06"/>
    <w:rPr>
      <w:sz w:val="16"/>
      <w:szCs w:val="16"/>
    </w:rPr>
  </w:style>
  <w:style w:type="paragraph" w:styleId="CommentText">
    <w:name w:val="annotation text"/>
    <w:basedOn w:val="Normal"/>
    <w:semiHidden/>
    <w:rsid w:val="00372B06"/>
    <w:rPr>
      <w:sz w:val="20"/>
    </w:rPr>
  </w:style>
  <w:style w:type="paragraph" w:styleId="CommentSubject">
    <w:name w:val="annotation subject"/>
    <w:basedOn w:val="CommentText"/>
    <w:next w:val="CommentText"/>
    <w:semiHidden/>
    <w:rsid w:val="00372B06"/>
    <w:rPr>
      <w:b/>
      <w:bCs/>
    </w:rPr>
  </w:style>
  <w:style w:type="paragraph" w:styleId="TOC1">
    <w:name w:val="toc 1"/>
    <w:basedOn w:val="Normal"/>
    <w:next w:val="Normal"/>
    <w:autoRedefine/>
    <w:semiHidden/>
    <w:rsid w:val="00A84ED6"/>
  </w:style>
  <w:style w:type="paragraph" w:styleId="TOC2">
    <w:name w:val="toc 2"/>
    <w:basedOn w:val="Normal"/>
    <w:next w:val="Normal"/>
    <w:autoRedefine/>
    <w:semiHidden/>
    <w:rsid w:val="00A84ED6"/>
    <w:pPr>
      <w:ind w:left="220"/>
    </w:pPr>
  </w:style>
  <w:style w:type="paragraph" w:styleId="TOC3">
    <w:name w:val="toc 3"/>
    <w:basedOn w:val="Normal"/>
    <w:next w:val="Normal"/>
    <w:autoRedefine/>
    <w:semiHidden/>
    <w:rsid w:val="00A84ED6"/>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wg.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ietf.org/IESG/Section1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3225</Words>
  <Characters>17388</Characters>
  <Application>Microsoft Office Word</Application>
  <DocSecurity>0</DocSecurity>
  <Lines>362</Lines>
  <Paragraphs>156</Paragraphs>
  <ScaleCrop>false</ScaleCrop>
  <HeadingPairs>
    <vt:vector size="2" baseType="variant">
      <vt:variant>
        <vt:lpstr>Title</vt:lpstr>
      </vt:variant>
      <vt:variant>
        <vt:i4>1</vt:i4>
      </vt:variant>
    </vt:vector>
  </HeadingPairs>
  <TitlesOfParts>
    <vt:vector size="1" baseType="lpstr">
      <vt:lpstr>Existing TDWG Processes</vt:lpstr>
    </vt:vector>
  </TitlesOfParts>
  <Company/>
  <LinksUpToDate>false</LinksUpToDate>
  <CharactersWithSpaces>20457</CharactersWithSpaces>
  <SharedDoc>false</SharedDoc>
  <HLinks>
    <vt:vector size="102" baseType="variant">
      <vt:variant>
        <vt:i4>6291575</vt:i4>
      </vt:variant>
      <vt:variant>
        <vt:i4>96</vt:i4>
      </vt:variant>
      <vt:variant>
        <vt:i4>0</vt:i4>
      </vt:variant>
      <vt:variant>
        <vt:i4>5</vt:i4>
      </vt:variant>
      <vt:variant>
        <vt:lpwstr>http://www.ietf.org/IESG/Section10.txt</vt:lpwstr>
      </vt:variant>
      <vt:variant>
        <vt:lpwstr/>
      </vt:variant>
      <vt:variant>
        <vt:i4>1048637</vt:i4>
      </vt:variant>
      <vt:variant>
        <vt:i4>89</vt:i4>
      </vt:variant>
      <vt:variant>
        <vt:i4>0</vt:i4>
      </vt:variant>
      <vt:variant>
        <vt:i4>5</vt:i4>
      </vt:variant>
      <vt:variant>
        <vt:lpwstr/>
      </vt:variant>
      <vt:variant>
        <vt:lpwstr>_Toc124592129</vt:lpwstr>
      </vt:variant>
      <vt:variant>
        <vt:i4>1048637</vt:i4>
      </vt:variant>
      <vt:variant>
        <vt:i4>83</vt:i4>
      </vt:variant>
      <vt:variant>
        <vt:i4>0</vt:i4>
      </vt:variant>
      <vt:variant>
        <vt:i4>5</vt:i4>
      </vt:variant>
      <vt:variant>
        <vt:lpwstr/>
      </vt:variant>
      <vt:variant>
        <vt:lpwstr>_Toc124592128</vt:lpwstr>
      </vt:variant>
      <vt:variant>
        <vt:i4>1048637</vt:i4>
      </vt:variant>
      <vt:variant>
        <vt:i4>77</vt:i4>
      </vt:variant>
      <vt:variant>
        <vt:i4>0</vt:i4>
      </vt:variant>
      <vt:variant>
        <vt:i4>5</vt:i4>
      </vt:variant>
      <vt:variant>
        <vt:lpwstr/>
      </vt:variant>
      <vt:variant>
        <vt:lpwstr>_Toc124592127</vt:lpwstr>
      </vt:variant>
      <vt:variant>
        <vt:i4>1048637</vt:i4>
      </vt:variant>
      <vt:variant>
        <vt:i4>71</vt:i4>
      </vt:variant>
      <vt:variant>
        <vt:i4>0</vt:i4>
      </vt:variant>
      <vt:variant>
        <vt:i4>5</vt:i4>
      </vt:variant>
      <vt:variant>
        <vt:lpwstr/>
      </vt:variant>
      <vt:variant>
        <vt:lpwstr>_Toc124592126</vt:lpwstr>
      </vt:variant>
      <vt:variant>
        <vt:i4>1048637</vt:i4>
      </vt:variant>
      <vt:variant>
        <vt:i4>65</vt:i4>
      </vt:variant>
      <vt:variant>
        <vt:i4>0</vt:i4>
      </vt:variant>
      <vt:variant>
        <vt:i4>5</vt:i4>
      </vt:variant>
      <vt:variant>
        <vt:lpwstr/>
      </vt:variant>
      <vt:variant>
        <vt:lpwstr>_Toc124592125</vt:lpwstr>
      </vt:variant>
      <vt:variant>
        <vt:i4>1048637</vt:i4>
      </vt:variant>
      <vt:variant>
        <vt:i4>59</vt:i4>
      </vt:variant>
      <vt:variant>
        <vt:i4>0</vt:i4>
      </vt:variant>
      <vt:variant>
        <vt:i4>5</vt:i4>
      </vt:variant>
      <vt:variant>
        <vt:lpwstr/>
      </vt:variant>
      <vt:variant>
        <vt:lpwstr>_Toc124592124</vt:lpwstr>
      </vt:variant>
      <vt:variant>
        <vt:i4>1048637</vt:i4>
      </vt:variant>
      <vt:variant>
        <vt:i4>53</vt:i4>
      </vt:variant>
      <vt:variant>
        <vt:i4>0</vt:i4>
      </vt:variant>
      <vt:variant>
        <vt:i4>5</vt:i4>
      </vt:variant>
      <vt:variant>
        <vt:lpwstr/>
      </vt:variant>
      <vt:variant>
        <vt:lpwstr>_Toc124592123</vt:lpwstr>
      </vt:variant>
      <vt:variant>
        <vt:i4>1048637</vt:i4>
      </vt:variant>
      <vt:variant>
        <vt:i4>47</vt:i4>
      </vt:variant>
      <vt:variant>
        <vt:i4>0</vt:i4>
      </vt:variant>
      <vt:variant>
        <vt:i4>5</vt:i4>
      </vt:variant>
      <vt:variant>
        <vt:lpwstr/>
      </vt:variant>
      <vt:variant>
        <vt:lpwstr>_Toc124592122</vt:lpwstr>
      </vt:variant>
      <vt:variant>
        <vt:i4>1048637</vt:i4>
      </vt:variant>
      <vt:variant>
        <vt:i4>41</vt:i4>
      </vt:variant>
      <vt:variant>
        <vt:i4>0</vt:i4>
      </vt:variant>
      <vt:variant>
        <vt:i4>5</vt:i4>
      </vt:variant>
      <vt:variant>
        <vt:lpwstr/>
      </vt:variant>
      <vt:variant>
        <vt:lpwstr>_Toc124592121</vt:lpwstr>
      </vt:variant>
      <vt:variant>
        <vt:i4>1048637</vt:i4>
      </vt:variant>
      <vt:variant>
        <vt:i4>35</vt:i4>
      </vt:variant>
      <vt:variant>
        <vt:i4>0</vt:i4>
      </vt:variant>
      <vt:variant>
        <vt:i4>5</vt:i4>
      </vt:variant>
      <vt:variant>
        <vt:lpwstr/>
      </vt:variant>
      <vt:variant>
        <vt:lpwstr>_Toc124592120</vt:lpwstr>
      </vt:variant>
      <vt:variant>
        <vt:i4>1245245</vt:i4>
      </vt:variant>
      <vt:variant>
        <vt:i4>29</vt:i4>
      </vt:variant>
      <vt:variant>
        <vt:i4>0</vt:i4>
      </vt:variant>
      <vt:variant>
        <vt:i4>5</vt:i4>
      </vt:variant>
      <vt:variant>
        <vt:lpwstr/>
      </vt:variant>
      <vt:variant>
        <vt:lpwstr>_Toc124592119</vt:lpwstr>
      </vt:variant>
      <vt:variant>
        <vt:i4>1245245</vt:i4>
      </vt:variant>
      <vt:variant>
        <vt:i4>23</vt:i4>
      </vt:variant>
      <vt:variant>
        <vt:i4>0</vt:i4>
      </vt:variant>
      <vt:variant>
        <vt:i4>5</vt:i4>
      </vt:variant>
      <vt:variant>
        <vt:lpwstr/>
      </vt:variant>
      <vt:variant>
        <vt:lpwstr>_Toc124592118</vt:lpwstr>
      </vt:variant>
      <vt:variant>
        <vt:i4>1245245</vt:i4>
      </vt:variant>
      <vt:variant>
        <vt:i4>17</vt:i4>
      </vt:variant>
      <vt:variant>
        <vt:i4>0</vt:i4>
      </vt:variant>
      <vt:variant>
        <vt:i4>5</vt:i4>
      </vt:variant>
      <vt:variant>
        <vt:lpwstr/>
      </vt:variant>
      <vt:variant>
        <vt:lpwstr>_Toc124592117</vt:lpwstr>
      </vt:variant>
      <vt:variant>
        <vt:i4>1245245</vt:i4>
      </vt:variant>
      <vt:variant>
        <vt:i4>11</vt:i4>
      </vt:variant>
      <vt:variant>
        <vt:i4>0</vt:i4>
      </vt:variant>
      <vt:variant>
        <vt:i4>5</vt:i4>
      </vt:variant>
      <vt:variant>
        <vt:lpwstr/>
      </vt:variant>
      <vt:variant>
        <vt:lpwstr>_Toc124592116</vt:lpwstr>
      </vt:variant>
      <vt:variant>
        <vt:i4>1245245</vt:i4>
      </vt:variant>
      <vt:variant>
        <vt:i4>5</vt:i4>
      </vt:variant>
      <vt:variant>
        <vt:i4>0</vt:i4>
      </vt:variant>
      <vt:variant>
        <vt:i4>5</vt:i4>
      </vt:variant>
      <vt:variant>
        <vt:lpwstr/>
      </vt:variant>
      <vt:variant>
        <vt:lpwstr>_Toc124592115</vt:lpwstr>
      </vt:variant>
      <vt:variant>
        <vt:i4>5963867</vt:i4>
      </vt:variant>
      <vt:variant>
        <vt:i4>0</vt:i4>
      </vt:variant>
      <vt:variant>
        <vt:i4>0</vt:i4>
      </vt:variant>
      <vt:variant>
        <vt:i4>5</vt:i4>
      </vt:variant>
      <vt:variant>
        <vt:lpwstr>http://www.tdwg.org/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Existing TDWG Processes</dc:title>
  <dc:subject/>
  <dc:creator>Lee Belbin</dc:creator>
  <cp:keywords/>
  <dc:description/>
  <cp:lastModifiedBy>Stanley Blum</cp:lastModifiedBy>
  <cp:revision>3</cp:revision>
  <dcterms:created xsi:type="dcterms:W3CDTF">2026-02-17T04:00:00Z</dcterms:created>
  <dcterms:modified xsi:type="dcterms:W3CDTF">2026-02-17T08:03:00Z</dcterms:modified>
</cp:coreProperties>
</file>